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3E129">
      <w:pPr>
        <w:spacing w:line="580" w:lineRule="exact"/>
        <w:rPr>
          <w:rFonts w:hint="default" w:ascii="Times New Roman" w:hAnsi="Times New Roman" w:eastAsia="黑体" w:cs="Times New Roman"/>
          <w:color w:val="auto"/>
          <w:kern w:val="0"/>
          <w:sz w:val="32"/>
          <w:szCs w:val="32"/>
          <w:highlight w:val="none"/>
          <w:lang w:val="en-US" w:eastAsia="zh-CN"/>
        </w:rPr>
      </w:pPr>
      <w:r>
        <w:rPr>
          <w:rFonts w:hint="default" w:ascii="Times New Roman" w:hAnsi="Times New Roman" w:eastAsia="黑体" w:cs="Times New Roman"/>
          <w:color w:val="auto"/>
          <w:kern w:val="0"/>
          <w:sz w:val="32"/>
          <w:szCs w:val="32"/>
          <w:highlight w:val="none"/>
          <w:lang w:val="en-US" w:eastAsia="zh-CN"/>
        </w:rPr>
        <w:t>附件：</w:t>
      </w:r>
    </w:p>
    <w:p w14:paraId="4809C31F">
      <w:pPr>
        <w:rPr>
          <w:rFonts w:hint="default" w:ascii="Times New Roman" w:hAnsi="Times New Roman" w:cs="Times New Roman"/>
          <w:color w:val="auto"/>
          <w:highlight w:val="none"/>
        </w:rPr>
      </w:pPr>
    </w:p>
    <w:tbl>
      <w:tblPr>
        <w:tblStyle w:val="3"/>
        <w:tblW w:w="141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2"/>
        <w:gridCol w:w="1671"/>
        <w:gridCol w:w="6834"/>
        <w:gridCol w:w="1652"/>
        <w:gridCol w:w="1572"/>
        <w:gridCol w:w="1428"/>
      </w:tblGrid>
      <w:tr w14:paraId="745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jc w:val="center"/>
        </w:trPr>
        <w:tc>
          <w:tcPr>
            <w:tcW w:w="14159" w:type="dxa"/>
            <w:gridSpan w:val="6"/>
            <w:tcBorders>
              <w:top w:val="nil"/>
              <w:left w:val="nil"/>
              <w:bottom w:val="nil"/>
              <w:right w:val="nil"/>
            </w:tcBorders>
            <w:noWrap/>
            <w:vAlign w:val="bottom"/>
          </w:tcPr>
          <w:p w14:paraId="5E6A3B1F">
            <w:pPr>
              <w:keepNext w:val="0"/>
              <w:keepLines w:val="0"/>
              <w:widowControl/>
              <w:suppressLineNumbers w:val="0"/>
              <w:jc w:val="center"/>
              <w:textAlignment w:val="center"/>
              <w:rPr>
                <w:rFonts w:hint="default" w:ascii="Times New Roman" w:hAnsi="Times New Roman" w:eastAsia="微软雅黑" w:cs="Times New Roman"/>
                <w:i w:val="0"/>
                <w:iCs w:val="0"/>
                <w:color w:val="auto"/>
                <w:sz w:val="44"/>
                <w:szCs w:val="44"/>
                <w:highlight w:val="none"/>
                <w:u w:val="none"/>
              </w:rPr>
            </w:pPr>
            <w:bookmarkStart w:id="0" w:name="_GoBack"/>
            <w:r>
              <w:rPr>
                <w:rFonts w:hint="default" w:ascii="Times New Roman" w:hAnsi="Times New Roman" w:eastAsia="方正小标宋_GBK" w:cs="Times New Roman"/>
                <w:i w:val="0"/>
                <w:iCs w:val="0"/>
                <w:color w:val="auto"/>
                <w:kern w:val="0"/>
                <w:sz w:val="44"/>
                <w:szCs w:val="44"/>
                <w:highlight w:val="none"/>
                <w:u w:val="none"/>
                <w:lang w:val="en-US" w:eastAsia="zh-CN" w:bidi="ar"/>
              </w:rPr>
              <w:t>龙亭区创建河南省营商环境创新示范区任务事项清单</w:t>
            </w:r>
            <w:bookmarkEnd w:id="0"/>
          </w:p>
        </w:tc>
      </w:tr>
      <w:tr w14:paraId="6617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jc w:val="center"/>
        </w:trPr>
        <w:tc>
          <w:tcPr>
            <w:tcW w:w="1002" w:type="dxa"/>
            <w:tcBorders>
              <w:top w:val="single" w:color="000000" w:sz="4" w:space="0"/>
              <w:left w:val="single" w:color="000000" w:sz="4" w:space="0"/>
              <w:bottom w:val="single" w:color="000000" w:sz="4" w:space="0"/>
              <w:right w:val="single" w:color="000000" w:sz="4" w:space="0"/>
            </w:tcBorders>
            <w:noWrap w:val="0"/>
            <w:vAlign w:val="center"/>
          </w:tcPr>
          <w:p w14:paraId="18C4191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0189337">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34" w:type="dxa"/>
            <w:tcBorders>
              <w:top w:val="single" w:color="000000" w:sz="4" w:space="0"/>
              <w:left w:val="single" w:color="000000" w:sz="4" w:space="0"/>
              <w:bottom w:val="single" w:color="000000" w:sz="4" w:space="0"/>
              <w:right w:val="single" w:color="000000" w:sz="4" w:space="0"/>
            </w:tcBorders>
            <w:noWrap w:val="0"/>
            <w:vAlign w:val="center"/>
          </w:tcPr>
          <w:p w14:paraId="378A322D">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710483B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14:paraId="4466CB7B">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76033EBD">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lang w:val="en-US"/>
              </w:rPr>
            </w:pPr>
            <w:r>
              <w:rPr>
                <w:rStyle w:val="5"/>
                <w:rFonts w:hint="default" w:ascii="Times New Roman" w:hAnsi="Times New Roman" w:cs="Times New Roman"/>
                <w:color w:val="auto"/>
                <w:highlight w:val="none"/>
                <w:lang w:val="en-US" w:eastAsia="zh-CN" w:bidi="ar"/>
              </w:rPr>
              <w:t>完成时限</w:t>
            </w:r>
          </w:p>
        </w:tc>
      </w:tr>
      <w:tr w14:paraId="6EEF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jc w:val="center"/>
        </w:trPr>
        <w:tc>
          <w:tcPr>
            <w:tcW w:w="14159" w:type="dxa"/>
            <w:gridSpan w:val="6"/>
            <w:tcBorders>
              <w:top w:val="single" w:color="000000" w:sz="4" w:space="0"/>
              <w:left w:val="single" w:color="000000" w:sz="4" w:space="0"/>
              <w:bottom w:val="single" w:color="000000" w:sz="4" w:space="0"/>
              <w:right w:val="single" w:color="000000" w:sz="4" w:space="0"/>
            </w:tcBorders>
            <w:noWrap w:val="0"/>
            <w:vAlign w:val="center"/>
          </w:tcPr>
          <w:p w14:paraId="0D6E6DCE">
            <w:pPr>
              <w:keepNext w:val="0"/>
              <w:keepLines w:val="0"/>
              <w:widowControl/>
              <w:suppressLineNumbers w:val="0"/>
              <w:jc w:val="left"/>
              <w:textAlignment w:val="center"/>
              <w:rPr>
                <w:rFonts w:hint="default" w:ascii="Times New Roman" w:hAnsi="Times New Roman" w:eastAsia="黑体" w:cs="Times New Roman"/>
                <w:i w:val="0"/>
                <w:iCs w:val="0"/>
                <w:color w:val="auto"/>
                <w:sz w:val="24"/>
                <w:szCs w:val="24"/>
                <w:highlight w:val="none"/>
                <w:u w:val="none"/>
              </w:rPr>
            </w:pPr>
            <w:r>
              <w:rPr>
                <w:rFonts w:hint="default" w:ascii="Times New Roman" w:hAnsi="Times New Roman" w:eastAsia="黑体" w:cs="Times New Roman"/>
                <w:i w:val="0"/>
                <w:iCs w:val="0"/>
                <w:color w:val="auto"/>
                <w:kern w:val="0"/>
                <w:sz w:val="24"/>
                <w:szCs w:val="24"/>
                <w:highlight w:val="none"/>
                <w:u w:val="none"/>
                <w:lang w:val="en-US" w:eastAsia="zh-CN" w:bidi="ar"/>
              </w:rPr>
              <w:t>一、构建要素充沛的文旅产业发展生态</w:t>
            </w:r>
          </w:p>
        </w:tc>
      </w:tr>
      <w:tr w14:paraId="69938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7" w:hRule="atLeast"/>
          <w:jc w:val="center"/>
        </w:trPr>
        <w:tc>
          <w:tcPr>
            <w:tcW w:w="1002" w:type="dxa"/>
            <w:tcBorders>
              <w:top w:val="single" w:color="000000" w:sz="4" w:space="0"/>
              <w:left w:val="single" w:color="000000" w:sz="4" w:space="0"/>
              <w:bottom w:val="single" w:color="000000" w:sz="4" w:space="0"/>
              <w:right w:val="single" w:color="000000" w:sz="4" w:space="0"/>
            </w:tcBorders>
            <w:noWrap w:val="0"/>
            <w:vAlign w:val="center"/>
          </w:tcPr>
          <w:p w14:paraId="7D504D31">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highlight w:val="none"/>
                <w:u w:val="none"/>
              </w:rPr>
            </w:pPr>
            <w:r>
              <w:rPr>
                <w:rFonts w:hint="default" w:ascii="Times New Roman" w:hAnsi="Times New Roman" w:eastAsia="仿宋" w:cs="Times New Roman"/>
                <w:i w:val="0"/>
                <w:iCs w:val="0"/>
                <w:color w:val="auto"/>
                <w:kern w:val="0"/>
                <w:sz w:val="24"/>
                <w:szCs w:val="24"/>
                <w:highlight w:val="none"/>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3BDF182A">
            <w:pPr>
              <w:keepNext w:val="0"/>
              <w:keepLines w:val="0"/>
              <w:widowControl/>
              <w:suppressLineNumbers w:val="0"/>
              <w:jc w:val="left"/>
              <w:textAlignment w:val="center"/>
              <w:rPr>
                <w:rFonts w:hint="default" w:ascii="Times New Roman" w:hAnsi="Times New Roman" w:eastAsia="仿宋" w:cs="Times New Roman"/>
                <w:i w:val="0"/>
                <w:iCs w:val="0"/>
                <w:color w:val="auto"/>
                <w:sz w:val="24"/>
                <w:szCs w:val="24"/>
                <w:highlight w:val="none"/>
                <w:u w:val="none"/>
              </w:rPr>
            </w:pPr>
            <w:r>
              <w:rPr>
                <w:rFonts w:hint="default" w:ascii="Times New Roman" w:hAnsi="Times New Roman" w:eastAsia="仿宋" w:cs="Times New Roman"/>
                <w:i w:val="0"/>
                <w:iCs w:val="0"/>
                <w:color w:val="auto"/>
                <w:kern w:val="0"/>
                <w:sz w:val="24"/>
                <w:szCs w:val="24"/>
                <w:highlight w:val="none"/>
                <w:u w:val="none"/>
                <w:lang w:val="en-US" w:eastAsia="zh-CN" w:bidi="ar"/>
              </w:rPr>
              <w:t>推动“文旅+百业”融合发展</w:t>
            </w:r>
          </w:p>
        </w:tc>
        <w:tc>
          <w:tcPr>
            <w:tcW w:w="6834" w:type="dxa"/>
            <w:tcBorders>
              <w:top w:val="single" w:color="000000" w:sz="4" w:space="0"/>
              <w:left w:val="single" w:color="000000" w:sz="4" w:space="0"/>
              <w:bottom w:val="single" w:color="000000" w:sz="4" w:space="0"/>
              <w:right w:val="single" w:color="000000" w:sz="4" w:space="0"/>
            </w:tcBorders>
            <w:noWrap w:val="0"/>
            <w:vAlign w:val="center"/>
          </w:tcPr>
          <w:p w14:paraId="2673843D">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sz w:val="24"/>
                <w:szCs w:val="24"/>
                <w:highlight w:val="none"/>
                <w:u w:val="none"/>
              </w:rPr>
            </w:pPr>
            <w:r>
              <w:rPr>
                <w:rFonts w:hint="default" w:ascii="Times New Roman" w:hAnsi="Times New Roman" w:eastAsia="仿宋" w:cs="Times New Roman"/>
                <w:i w:val="0"/>
                <w:iCs w:val="0"/>
                <w:color w:val="auto"/>
                <w:kern w:val="0"/>
                <w:sz w:val="24"/>
                <w:szCs w:val="24"/>
                <w:highlight w:val="none"/>
                <w:u w:val="none"/>
                <w:lang w:val="en-US" w:eastAsia="zh-CN" w:bidi="ar"/>
              </w:rPr>
              <w:t>以宋文化为核心，构建“文旅核心业态+生产性服务业赋能+生活性服务业配套”的产业体系。强化清明上河园、万岁山武侠城等龙头景区带动，升级经典演艺、打造新一代沉浸式体验产品、布局多元特色业态，搭建“日间宋韵游园+夜间宋韵演艺+全时宋韵体验”的产品体系；同步推进景区数字化、品牌化升级，推动宋韵IP深度融入城市更新、乡村振兴建设。健全生产性服务业体系，整合IP运营、数字技术、金融服务、会展营销等优质资源，为经营主体赋能；积极发展文旅策划运营、文创设计、电商服务、低空经济等新兴业态，壮大文旅产业链条。完善优化生活性服务业配套，丰富宋都御街、七盛角、半亩园、珠玑巷等特色商业街区消费场景，培育高端餐秀、非遗美食、宋式茶饮等特色业态，激活街区消费活力；推进宋式美宿品质化、集群化发展，擦亮“龙亭美宿”特色品牌；优化交通网络、提升城市风貌与公共服务设施，统筹提升配套建设水平，推动实现融合发展。</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0BAA973C">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highlight w:val="none"/>
                <w:u w:val="none"/>
              </w:rPr>
            </w:pPr>
            <w:r>
              <w:rPr>
                <w:rFonts w:hint="default" w:ascii="Times New Roman" w:hAnsi="Times New Roman" w:eastAsia="仿宋" w:cs="Times New Roman"/>
                <w:i w:val="0"/>
                <w:iCs w:val="0"/>
                <w:color w:val="auto"/>
                <w:kern w:val="0"/>
                <w:sz w:val="24"/>
                <w:szCs w:val="24"/>
                <w:highlight w:val="none"/>
                <w:u w:val="none"/>
                <w:lang w:val="en-US" w:eastAsia="zh-CN" w:bidi="ar"/>
              </w:rPr>
              <w:t>区文旅局</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14:paraId="270CDD5B">
            <w:pPr>
              <w:keepNext w:val="0"/>
              <w:keepLines w:val="0"/>
              <w:widowControl/>
              <w:suppressLineNumbers w:val="0"/>
              <w:jc w:val="both"/>
              <w:textAlignment w:val="center"/>
              <w:rPr>
                <w:rFonts w:hint="default" w:ascii="Times New Roman" w:hAnsi="Times New Roman" w:eastAsia="仿宋" w:cs="Times New Roman"/>
                <w:i w:val="0"/>
                <w:iCs w:val="0"/>
                <w:color w:val="auto"/>
                <w:sz w:val="24"/>
                <w:szCs w:val="24"/>
                <w:highlight w:val="none"/>
                <w:u w:val="none"/>
              </w:rPr>
            </w:pPr>
            <w:r>
              <w:rPr>
                <w:rFonts w:hint="default" w:ascii="Times New Roman" w:hAnsi="Times New Roman" w:eastAsia="仿宋" w:cs="Times New Roman"/>
                <w:i w:val="0"/>
                <w:iCs w:val="0"/>
                <w:color w:val="auto"/>
                <w:kern w:val="0"/>
                <w:sz w:val="24"/>
                <w:szCs w:val="24"/>
                <w:highlight w:val="none"/>
                <w:u w:val="none"/>
                <w:lang w:val="en-US" w:eastAsia="zh-CN" w:bidi="ar"/>
              </w:rPr>
              <w:t>区发改委、区商务局、区农业农村局、区住建局、区城市更新办公室、区金融服务中心等单位配合</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35AD5115">
            <w:pPr>
              <w:keepNext w:val="0"/>
              <w:keepLines w:val="0"/>
              <w:widowControl/>
              <w:suppressLineNumbers w:val="0"/>
              <w:jc w:val="left"/>
              <w:textAlignment w:val="center"/>
              <w:rPr>
                <w:rFonts w:hint="default" w:ascii="Times New Roman" w:hAnsi="Times New Roman" w:eastAsia="仿宋" w:cs="Times New Roman"/>
                <w:i w:val="0"/>
                <w:iCs w:val="0"/>
                <w:color w:val="auto"/>
                <w:sz w:val="24"/>
                <w:szCs w:val="24"/>
                <w:highlight w:val="none"/>
                <w:u w:val="none"/>
                <w:lang w:val="en-US" w:eastAsia="zh-CN"/>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p w14:paraId="4C447A09">
      <w:pPr>
        <w:rPr>
          <w:rFonts w:hint="default" w:ascii="Times New Roman" w:hAnsi="Times New Roman" w:eastAsia="宋体" w:cs="Times New Roman"/>
          <w:color w:val="auto"/>
          <w:highlight w:val="none"/>
          <w:lang w:val="en-US" w:eastAsia="zh-CN"/>
        </w:rPr>
        <w:sectPr>
          <w:footerReference r:id="rId3" w:type="default"/>
          <w:pgSz w:w="16838" w:h="11906" w:orient="landscape"/>
          <w:pgMar w:top="720" w:right="720" w:bottom="720" w:left="720" w:header="851" w:footer="992" w:gutter="0"/>
          <w:pgNumType w:fmt="decimal"/>
          <w:cols w:space="720" w:num="1"/>
          <w:docGrid w:type="lines" w:linePitch="312" w:charSpace="0"/>
        </w:sectPr>
      </w:pPr>
    </w:p>
    <w:tbl>
      <w:tblPr>
        <w:tblStyle w:val="3"/>
        <w:tblW w:w="142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4"/>
        <w:gridCol w:w="59"/>
        <w:gridCol w:w="25"/>
        <w:gridCol w:w="1601"/>
        <w:gridCol w:w="74"/>
        <w:gridCol w:w="11"/>
        <w:gridCol w:w="6743"/>
        <w:gridCol w:w="71"/>
        <w:gridCol w:w="3"/>
        <w:gridCol w:w="1584"/>
        <w:gridCol w:w="38"/>
        <w:gridCol w:w="7"/>
        <w:gridCol w:w="1485"/>
        <w:gridCol w:w="54"/>
        <w:gridCol w:w="5"/>
        <w:gridCol w:w="1390"/>
        <w:gridCol w:w="32"/>
        <w:gridCol w:w="45"/>
      </w:tblGrid>
      <w:tr w14:paraId="1AFE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7" w:type="dxa"/>
          <w:trHeight w:val="992" w:hRule="atLeast"/>
          <w:jc w:val="center"/>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0361371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685" w:type="dxa"/>
            <w:gridSpan w:val="3"/>
            <w:tcBorders>
              <w:top w:val="single" w:color="000000" w:sz="4" w:space="0"/>
              <w:left w:val="single" w:color="000000" w:sz="4" w:space="0"/>
              <w:bottom w:val="single" w:color="000000" w:sz="4" w:space="0"/>
              <w:right w:val="single" w:color="000000" w:sz="4" w:space="0"/>
            </w:tcBorders>
            <w:noWrap w:val="0"/>
            <w:vAlign w:val="center"/>
          </w:tcPr>
          <w:p w14:paraId="74F7CD20">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28" w:type="dxa"/>
            <w:gridSpan w:val="3"/>
            <w:tcBorders>
              <w:top w:val="single" w:color="000000" w:sz="4" w:space="0"/>
              <w:left w:val="single" w:color="000000" w:sz="4" w:space="0"/>
              <w:bottom w:val="single" w:color="000000" w:sz="4" w:space="0"/>
              <w:right w:val="single" w:color="000000" w:sz="4" w:space="0"/>
            </w:tcBorders>
            <w:noWrap w:val="0"/>
            <w:vAlign w:val="center"/>
          </w:tcPr>
          <w:p w14:paraId="73203C1C">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58" w:type="dxa"/>
            <w:gridSpan w:val="3"/>
            <w:tcBorders>
              <w:top w:val="single" w:color="000000" w:sz="4" w:space="0"/>
              <w:left w:val="single" w:color="000000" w:sz="4" w:space="0"/>
              <w:bottom w:val="single" w:color="000000" w:sz="4" w:space="0"/>
              <w:right w:val="single" w:color="000000" w:sz="4" w:space="0"/>
            </w:tcBorders>
            <w:noWrap w:val="0"/>
            <w:vAlign w:val="center"/>
          </w:tcPr>
          <w:p w14:paraId="5CF8A986">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30" w:type="dxa"/>
            <w:gridSpan w:val="3"/>
            <w:tcBorders>
              <w:top w:val="single" w:color="000000" w:sz="4" w:space="0"/>
              <w:left w:val="single" w:color="000000" w:sz="4" w:space="0"/>
              <w:bottom w:val="single" w:color="000000" w:sz="4" w:space="0"/>
              <w:right w:val="single" w:color="000000" w:sz="4" w:space="0"/>
            </w:tcBorders>
            <w:noWrap w:val="0"/>
            <w:vAlign w:val="center"/>
          </w:tcPr>
          <w:p w14:paraId="1DE2537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49" w:type="dxa"/>
            <w:gridSpan w:val="3"/>
            <w:tcBorders>
              <w:top w:val="single" w:color="000000" w:sz="4" w:space="0"/>
              <w:left w:val="single" w:color="000000" w:sz="4" w:space="0"/>
              <w:bottom w:val="single" w:color="000000" w:sz="4" w:space="0"/>
              <w:right w:val="single" w:color="000000" w:sz="4" w:space="0"/>
            </w:tcBorders>
            <w:noWrap w:val="0"/>
            <w:vAlign w:val="center"/>
          </w:tcPr>
          <w:p w14:paraId="2CD4F6B2">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2F65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7" w:type="dxa"/>
          <w:trHeight w:val="8225" w:hRule="atLeast"/>
          <w:jc w:val="center"/>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63BA0382">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2</w:t>
            </w:r>
          </w:p>
        </w:tc>
        <w:tc>
          <w:tcPr>
            <w:tcW w:w="1685" w:type="dxa"/>
            <w:gridSpan w:val="3"/>
            <w:tcBorders>
              <w:top w:val="single" w:color="000000" w:sz="4" w:space="0"/>
              <w:left w:val="single" w:color="000000" w:sz="4" w:space="0"/>
              <w:bottom w:val="single" w:color="000000" w:sz="4" w:space="0"/>
              <w:right w:val="single" w:color="000000" w:sz="4" w:space="0"/>
            </w:tcBorders>
            <w:noWrap w:val="0"/>
            <w:vAlign w:val="center"/>
          </w:tcPr>
          <w:p w14:paraId="36A0A361">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盘活升级文旅产业空间</w:t>
            </w:r>
          </w:p>
        </w:tc>
        <w:tc>
          <w:tcPr>
            <w:tcW w:w="6828" w:type="dxa"/>
            <w:gridSpan w:val="3"/>
            <w:tcBorders>
              <w:top w:val="single" w:color="000000" w:sz="4" w:space="0"/>
              <w:left w:val="single" w:color="000000" w:sz="4" w:space="0"/>
              <w:bottom w:val="single" w:color="000000" w:sz="4" w:space="0"/>
              <w:right w:val="single" w:color="000000" w:sz="4" w:space="0"/>
            </w:tcBorders>
            <w:noWrap w:val="0"/>
            <w:vAlign w:val="center"/>
          </w:tcPr>
          <w:p w14:paraId="1353EBD7">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以空间资源整合盘活、等级旅游民宿培育为双抓手，构建“普查摸底、分类盘活、载体打造、业态植入、运营赋能”链条体系。开展全域拉网式空间资源普查，建立空间资源数据库，按保护修缮、改造提升、新建拓展、微更新四类分类施策，推行长期租赁、产权认养等多元化盘活模式，实现闲置空间高效利用。利用闲置院落、临街商铺等改造高标准文创空间，遵循“宋式风貌、复合功能、体验优先”标准，设置展示展销、数字文创互动、创意设计工作室等区域，形成专属品牌。在核心景区周边、历史街巷等游客集中区域，积极培育和引进非遗体验中心或驿站，推动非遗从“展品”向“产品”、“传承”向“产业”转变。依据国家标准培育等级旅游民宿，建立“一对一”帮扶机制，将宋代建筑元素、生活方式、文化内涵融入民宿设计、装修、运营全流程，打造更多精品民宿品牌。</w:t>
            </w:r>
          </w:p>
        </w:tc>
        <w:tc>
          <w:tcPr>
            <w:tcW w:w="1658" w:type="dxa"/>
            <w:gridSpan w:val="3"/>
            <w:tcBorders>
              <w:top w:val="single" w:color="000000" w:sz="4" w:space="0"/>
              <w:left w:val="single" w:color="000000" w:sz="4" w:space="0"/>
              <w:bottom w:val="single" w:color="000000" w:sz="4" w:space="0"/>
              <w:right w:val="single" w:color="000000" w:sz="4" w:space="0"/>
            </w:tcBorders>
            <w:noWrap w:val="0"/>
            <w:vAlign w:val="center"/>
          </w:tcPr>
          <w:p w14:paraId="02C4DC3F">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区文旅局</w:t>
            </w:r>
          </w:p>
        </w:tc>
        <w:tc>
          <w:tcPr>
            <w:tcW w:w="1530" w:type="dxa"/>
            <w:gridSpan w:val="3"/>
            <w:tcBorders>
              <w:top w:val="single" w:color="000000" w:sz="4" w:space="0"/>
              <w:left w:val="single" w:color="000000" w:sz="4" w:space="0"/>
              <w:bottom w:val="single" w:color="000000" w:sz="4" w:space="0"/>
              <w:right w:val="single" w:color="000000" w:sz="4" w:space="0"/>
            </w:tcBorders>
            <w:noWrap w:val="0"/>
            <w:vAlign w:val="center"/>
          </w:tcPr>
          <w:p w14:paraId="60D38B96">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区商务局、区发改委、区住建局等单位配合</w:t>
            </w:r>
          </w:p>
        </w:tc>
        <w:tc>
          <w:tcPr>
            <w:tcW w:w="1449" w:type="dxa"/>
            <w:gridSpan w:val="3"/>
            <w:tcBorders>
              <w:top w:val="single" w:color="000000" w:sz="4" w:space="0"/>
              <w:left w:val="single" w:color="000000" w:sz="4" w:space="0"/>
              <w:bottom w:val="single" w:color="000000" w:sz="4" w:space="0"/>
              <w:right w:val="single" w:color="000000" w:sz="4" w:space="0"/>
            </w:tcBorders>
            <w:noWrap w:val="0"/>
            <w:vAlign w:val="center"/>
          </w:tcPr>
          <w:p w14:paraId="72BA085B">
            <w:pPr>
              <w:keepNext w:val="0"/>
              <w:keepLines w:val="0"/>
              <w:widowControl/>
              <w:suppressLineNumbers w:val="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4EF6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8" w:hRule="atLeast"/>
          <w:jc w:val="center"/>
        </w:trPr>
        <w:tc>
          <w:tcPr>
            <w:tcW w:w="1078" w:type="dxa"/>
            <w:gridSpan w:val="3"/>
            <w:tcBorders>
              <w:top w:val="single" w:color="000000" w:sz="4" w:space="0"/>
              <w:left w:val="single" w:color="000000" w:sz="4" w:space="0"/>
              <w:bottom w:val="single" w:color="000000" w:sz="4" w:space="0"/>
              <w:right w:val="single" w:color="000000" w:sz="4" w:space="0"/>
            </w:tcBorders>
            <w:noWrap w:val="0"/>
            <w:vAlign w:val="center"/>
          </w:tcPr>
          <w:p w14:paraId="37ABA86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686" w:type="dxa"/>
            <w:gridSpan w:val="3"/>
            <w:tcBorders>
              <w:top w:val="single" w:color="000000" w:sz="4" w:space="0"/>
              <w:left w:val="single" w:color="000000" w:sz="4" w:space="0"/>
              <w:bottom w:val="single" w:color="000000" w:sz="4" w:space="0"/>
              <w:right w:val="single" w:color="000000" w:sz="4" w:space="0"/>
            </w:tcBorders>
            <w:noWrap w:val="0"/>
            <w:vAlign w:val="center"/>
          </w:tcPr>
          <w:p w14:paraId="178459D7">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14" w:type="dxa"/>
            <w:gridSpan w:val="2"/>
            <w:tcBorders>
              <w:top w:val="single" w:color="000000" w:sz="4" w:space="0"/>
              <w:left w:val="single" w:color="000000" w:sz="4" w:space="0"/>
              <w:bottom w:val="single" w:color="000000" w:sz="4" w:space="0"/>
              <w:right w:val="single" w:color="000000" w:sz="4" w:space="0"/>
            </w:tcBorders>
            <w:noWrap w:val="0"/>
            <w:vAlign w:val="center"/>
          </w:tcPr>
          <w:p w14:paraId="382D2794">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25" w:type="dxa"/>
            <w:gridSpan w:val="3"/>
            <w:tcBorders>
              <w:top w:val="single" w:color="000000" w:sz="4" w:space="0"/>
              <w:left w:val="single" w:color="000000" w:sz="4" w:space="0"/>
              <w:bottom w:val="single" w:color="000000" w:sz="4" w:space="0"/>
              <w:right w:val="single" w:color="000000" w:sz="4" w:space="0"/>
            </w:tcBorders>
            <w:noWrap w:val="0"/>
            <w:vAlign w:val="center"/>
          </w:tcPr>
          <w:p w14:paraId="456F3154">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46" w:type="dxa"/>
            <w:gridSpan w:val="3"/>
            <w:tcBorders>
              <w:top w:val="single" w:color="000000" w:sz="4" w:space="0"/>
              <w:left w:val="single" w:color="000000" w:sz="4" w:space="0"/>
              <w:bottom w:val="single" w:color="000000" w:sz="4" w:space="0"/>
              <w:right w:val="single" w:color="000000" w:sz="4" w:space="0"/>
            </w:tcBorders>
            <w:noWrap w:val="0"/>
            <w:vAlign w:val="center"/>
          </w:tcPr>
          <w:p w14:paraId="35BC9F28">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72" w:type="dxa"/>
            <w:gridSpan w:val="4"/>
            <w:tcBorders>
              <w:top w:val="single" w:color="000000" w:sz="4" w:space="0"/>
              <w:left w:val="single" w:color="000000" w:sz="4" w:space="0"/>
              <w:bottom w:val="single" w:color="000000" w:sz="4" w:space="0"/>
              <w:right w:val="single" w:color="000000" w:sz="4" w:space="0"/>
            </w:tcBorders>
            <w:noWrap w:val="0"/>
            <w:vAlign w:val="center"/>
          </w:tcPr>
          <w:p w14:paraId="7DD4151F">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2B26F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6" w:hRule="atLeast"/>
          <w:jc w:val="center"/>
        </w:trPr>
        <w:tc>
          <w:tcPr>
            <w:tcW w:w="1078" w:type="dxa"/>
            <w:gridSpan w:val="3"/>
            <w:tcBorders>
              <w:top w:val="single" w:color="000000" w:sz="4" w:space="0"/>
              <w:left w:val="single" w:color="000000" w:sz="4" w:space="0"/>
              <w:bottom w:val="single" w:color="000000" w:sz="4" w:space="0"/>
              <w:right w:val="single" w:color="000000" w:sz="4" w:space="0"/>
            </w:tcBorders>
            <w:noWrap w:val="0"/>
            <w:vAlign w:val="center"/>
          </w:tcPr>
          <w:p w14:paraId="74ECAF6C">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3</w:t>
            </w:r>
          </w:p>
        </w:tc>
        <w:tc>
          <w:tcPr>
            <w:tcW w:w="1686" w:type="dxa"/>
            <w:gridSpan w:val="3"/>
            <w:tcBorders>
              <w:top w:val="single" w:color="000000" w:sz="4" w:space="0"/>
              <w:left w:val="single" w:color="000000" w:sz="4" w:space="0"/>
              <w:bottom w:val="single" w:color="000000" w:sz="4" w:space="0"/>
              <w:right w:val="single" w:color="000000" w:sz="4" w:space="0"/>
            </w:tcBorders>
            <w:noWrap w:val="0"/>
            <w:vAlign w:val="center"/>
          </w:tcPr>
          <w:p w14:paraId="093587AF">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精准引育文旅产业人才</w:t>
            </w:r>
          </w:p>
        </w:tc>
        <w:tc>
          <w:tcPr>
            <w:tcW w:w="6814" w:type="dxa"/>
            <w:gridSpan w:val="2"/>
            <w:tcBorders>
              <w:top w:val="single" w:color="000000" w:sz="4" w:space="0"/>
              <w:left w:val="single" w:color="000000" w:sz="4" w:space="0"/>
              <w:bottom w:val="single" w:color="000000" w:sz="4" w:space="0"/>
              <w:right w:val="single" w:color="000000" w:sz="4" w:space="0"/>
            </w:tcBorders>
            <w:noWrap w:val="0"/>
            <w:vAlign w:val="center"/>
          </w:tcPr>
          <w:p w14:paraId="0B8FC1A3">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打造“前端精准对接需求、中端定制化培养、后端高效输送与留任”的全链条特色文旅人才培育体系。深化校企合作，联动汴绣、官瓷、花生糕等非遗经营主体，新增特色培养方向，共建“非遗人才工坊”，构建“院校理论教学+企业工坊实操传承+文旅场景实践”的非遗人才培育模式。定制民宿标准化课程，打造基础技能、运营管理、应急处理等模块，推行“理论+实操”沉浸式培训，建立“培训+孵化”机制，为优秀参训者提供孵化支持；搭建民宿管家人才库，实现双向对接。推进产教融合，依托辖区高校资源共建“文旅人才实训基地”，增设特色实训模块，通过实景实操、项目化教学、校企联合考核等方式，推动实训成果直达景区岗位需求。搭建“线上+线下”人才对接平台，线上开设招聘专栏，依托零工市场开展抖音直播带岗，线下定期举办文旅专项招聘会，实现供需精准匹配、线上线下互补联动。</w:t>
            </w:r>
          </w:p>
        </w:tc>
        <w:tc>
          <w:tcPr>
            <w:tcW w:w="1625" w:type="dxa"/>
            <w:gridSpan w:val="3"/>
            <w:tcBorders>
              <w:top w:val="single" w:color="000000" w:sz="4" w:space="0"/>
              <w:left w:val="single" w:color="000000" w:sz="4" w:space="0"/>
              <w:bottom w:val="single" w:color="000000" w:sz="4" w:space="0"/>
              <w:right w:val="single" w:color="000000" w:sz="4" w:space="0"/>
            </w:tcBorders>
            <w:noWrap w:val="0"/>
            <w:vAlign w:val="center"/>
          </w:tcPr>
          <w:p w14:paraId="3D052341">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区人社局</w:t>
            </w:r>
          </w:p>
        </w:tc>
        <w:tc>
          <w:tcPr>
            <w:tcW w:w="1546" w:type="dxa"/>
            <w:gridSpan w:val="3"/>
            <w:tcBorders>
              <w:top w:val="single" w:color="000000" w:sz="4" w:space="0"/>
              <w:left w:val="single" w:color="000000" w:sz="4" w:space="0"/>
              <w:bottom w:val="single" w:color="000000" w:sz="4" w:space="0"/>
              <w:right w:val="single" w:color="000000" w:sz="4" w:space="0"/>
            </w:tcBorders>
            <w:noWrap w:val="0"/>
            <w:vAlign w:val="center"/>
          </w:tcPr>
          <w:p w14:paraId="6229295E">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市黄河生态保护和发展服务中心、区文旅局、区商务局等单位配合</w:t>
            </w:r>
          </w:p>
        </w:tc>
        <w:tc>
          <w:tcPr>
            <w:tcW w:w="1472" w:type="dxa"/>
            <w:gridSpan w:val="4"/>
            <w:tcBorders>
              <w:top w:val="single" w:color="000000" w:sz="4" w:space="0"/>
              <w:left w:val="single" w:color="000000" w:sz="4" w:space="0"/>
              <w:bottom w:val="single" w:color="000000" w:sz="4" w:space="0"/>
              <w:right w:val="single" w:color="000000" w:sz="4" w:space="0"/>
            </w:tcBorders>
            <w:noWrap w:val="0"/>
            <w:vAlign w:val="center"/>
          </w:tcPr>
          <w:p w14:paraId="6B1FF201">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51D87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0" w:hRule="atLeast"/>
          <w:jc w:val="center"/>
        </w:trPr>
        <w:tc>
          <w:tcPr>
            <w:tcW w:w="1078" w:type="dxa"/>
            <w:gridSpan w:val="3"/>
            <w:tcBorders>
              <w:top w:val="single" w:color="000000" w:sz="4" w:space="0"/>
              <w:left w:val="single" w:color="000000" w:sz="4" w:space="0"/>
              <w:bottom w:val="single" w:color="000000" w:sz="4" w:space="0"/>
              <w:right w:val="single" w:color="000000" w:sz="4" w:space="0"/>
            </w:tcBorders>
            <w:noWrap w:val="0"/>
            <w:vAlign w:val="center"/>
          </w:tcPr>
          <w:p w14:paraId="3AC57606">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4</w:t>
            </w:r>
          </w:p>
        </w:tc>
        <w:tc>
          <w:tcPr>
            <w:tcW w:w="1686" w:type="dxa"/>
            <w:gridSpan w:val="3"/>
            <w:tcBorders>
              <w:top w:val="single" w:color="000000" w:sz="4" w:space="0"/>
              <w:left w:val="single" w:color="000000" w:sz="4" w:space="0"/>
              <w:bottom w:val="single" w:color="000000" w:sz="4" w:space="0"/>
              <w:right w:val="single" w:color="000000" w:sz="4" w:space="0"/>
            </w:tcBorders>
            <w:noWrap w:val="0"/>
            <w:vAlign w:val="center"/>
          </w:tcPr>
          <w:p w14:paraId="2B25C653">
            <w:pPr>
              <w:keepNext w:val="0"/>
              <w:keepLines w:val="0"/>
              <w:widowControl/>
              <w:suppressLineNumbers w:val="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创新文旅特色金融产品</w:t>
            </w:r>
          </w:p>
        </w:tc>
        <w:tc>
          <w:tcPr>
            <w:tcW w:w="6814" w:type="dxa"/>
            <w:gridSpan w:val="2"/>
            <w:tcBorders>
              <w:top w:val="single" w:color="000000" w:sz="4" w:space="0"/>
              <w:left w:val="single" w:color="000000" w:sz="4" w:space="0"/>
              <w:bottom w:val="single" w:color="000000" w:sz="4" w:space="0"/>
              <w:right w:val="single" w:color="000000" w:sz="4" w:space="0"/>
            </w:tcBorders>
            <w:noWrap w:val="0"/>
            <w:vAlign w:val="center"/>
          </w:tcPr>
          <w:p w14:paraId="599B3475">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聚焦文旅产业融资特点，构建差异化、精准化的金融产品体系。在“民宿贷”基础上，引导金融机构围绕宋服体验、妆造服务、文创经营等不同业态，探索推出“宋服贷”“妆造贷”“文创贷”等特色信贷产品。重点关注和服务无抵押、轻资产经营主体，推动信贷资源向特色业态合理倾斜。建立重点文旅项目“银企对接会”机制，定期组织开展多形式融资对接活动，推动金融产品与企业需求有效衔接。深化“首席金融服务官”制度，优化其功能定位，在金融服务全覆盖的基础上，聚焦经营状况稳定、融资需求较为迫切的文旅经营主体，提供政策解读、融资辅导、跟踪服务等“一对一”支持。</w:t>
            </w:r>
          </w:p>
        </w:tc>
        <w:tc>
          <w:tcPr>
            <w:tcW w:w="1625" w:type="dxa"/>
            <w:gridSpan w:val="3"/>
            <w:tcBorders>
              <w:top w:val="single" w:color="000000" w:sz="4" w:space="0"/>
              <w:left w:val="single" w:color="000000" w:sz="4" w:space="0"/>
              <w:bottom w:val="single" w:color="000000" w:sz="4" w:space="0"/>
              <w:right w:val="single" w:color="000000" w:sz="4" w:space="0"/>
            </w:tcBorders>
            <w:noWrap w:val="0"/>
            <w:vAlign w:val="center"/>
          </w:tcPr>
          <w:p w14:paraId="76CC72D2">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区金融服务中心</w:t>
            </w:r>
          </w:p>
        </w:tc>
        <w:tc>
          <w:tcPr>
            <w:tcW w:w="1546" w:type="dxa"/>
            <w:gridSpan w:val="3"/>
            <w:tcBorders>
              <w:top w:val="single" w:color="000000" w:sz="4" w:space="0"/>
              <w:left w:val="single" w:color="000000" w:sz="4" w:space="0"/>
              <w:bottom w:val="single" w:color="000000" w:sz="4" w:space="0"/>
              <w:right w:val="single" w:color="000000" w:sz="4" w:space="0"/>
            </w:tcBorders>
            <w:noWrap w:val="0"/>
            <w:vAlign w:val="center"/>
          </w:tcPr>
          <w:p w14:paraId="36FC3DAD">
            <w:pPr>
              <w:keepNext w:val="0"/>
              <w:keepLines w:val="0"/>
              <w:widowControl/>
              <w:suppressLineNumbers w:val="0"/>
              <w:jc w:val="both"/>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区文旅局、区发改委、区重点项目建设推进中心、区商务局等单位配合</w:t>
            </w:r>
          </w:p>
        </w:tc>
        <w:tc>
          <w:tcPr>
            <w:tcW w:w="1472" w:type="dxa"/>
            <w:gridSpan w:val="4"/>
            <w:tcBorders>
              <w:top w:val="single" w:color="000000" w:sz="4" w:space="0"/>
              <w:left w:val="single" w:color="000000" w:sz="4" w:space="0"/>
              <w:bottom w:val="single" w:color="000000" w:sz="4" w:space="0"/>
              <w:right w:val="single" w:color="000000" w:sz="4" w:space="0"/>
            </w:tcBorders>
            <w:noWrap w:val="0"/>
            <w:vAlign w:val="center"/>
          </w:tcPr>
          <w:p w14:paraId="1171AC9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123D0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 w:type="dxa"/>
          <w:trHeight w:val="961" w:hRule="atLeast"/>
          <w:jc w:val="center"/>
        </w:trPr>
        <w:tc>
          <w:tcPr>
            <w:tcW w:w="1053" w:type="dxa"/>
            <w:gridSpan w:val="2"/>
            <w:tcBorders>
              <w:top w:val="single" w:color="000000" w:sz="4" w:space="0"/>
              <w:left w:val="single" w:color="000000" w:sz="4" w:space="0"/>
              <w:bottom w:val="single" w:color="000000" w:sz="4" w:space="0"/>
              <w:right w:val="single" w:color="000000" w:sz="4" w:space="0"/>
            </w:tcBorders>
            <w:noWrap w:val="0"/>
            <w:vAlign w:val="center"/>
          </w:tcPr>
          <w:p w14:paraId="0733B1F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00" w:type="dxa"/>
            <w:gridSpan w:val="3"/>
            <w:tcBorders>
              <w:top w:val="single" w:color="000000" w:sz="4" w:space="0"/>
              <w:left w:val="single" w:color="000000" w:sz="4" w:space="0"/>
              <w:bottom w:val="single" w:color="000000" w:sz="4" w:space="0"/>
              <w:right w:val="single" w:color="000000" w:sz="4" w:space="0"/>
            </w:tcBorders>
            <w:noWrap w:val="0"/>
            <w:vAlign w:val="center"/>
          </w:tcPr>
          <w:p w14:paraId="68EFD317">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28" w:type="dxa"/>
            <w:gridSpan w:val="4"/>
            <w:tcBorders>
              <w:top w:val="single" w:color="000000" w:sz="4" w:space="0"/>
              <w:left w:val="single" w:color="000000" w:sz="4" w:space="0"/>
              <w:bottom w:val="single" w:color="000000" w:sz="4" w:space="0"/>
              <w:right w:val="single" w:color="000000" w:sz="4" w:space="0"/>
            </w:tcBorders>
            <w:noWrap w:val="0"/>
            <w:vAlign w:val="center"/>
          </w:tcPr>
          <w:p w14:paraId="65461184">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29" w:type="dxa"/>
            <w:gridSpan w:val="3"/>
            <w:tcBorders>
              <w:top w:val="single" w:color="000000" w:sz="4" w:space="0"/>
              <w:left w:val="single" w:color="000000" w:sz="4" w:space="0"/>
              <w:bottom w:val="single" w:color="000000" w:sz="4" w:space="0"/>
              <w:right w:val="single" w:color="000000" w:sz="4" w:space="0"/>
            </w:tcBorders>
            <w:noWrap w:val="0"/>
            <w:vAlign w:val="center"/>
          </w:tcPr>
          <w:p w14:paraId="0528CBAB">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44" w:type="dxa"/>
            <w:gridSpan w:val="3"/>
            <w:tcBorders>
              <w:top w:val="single" w:color="000000" w:sz="4" w:space="0"/>
              <w:left w:val="single" w:color="000000" w:sz="4" w:space="0"/>
              <w:bottom w:val="single" w:color="000000" w:sz="4" w:space="0"/>
              <w:right w:val="single" w:color="000000" w:sz="4" w:space="0"/>
            </w:tcBorders>
            <w:noWrap w:val="0"/>
            <w:vAlign w:val="center"/>
          </w:tcPr>
          <w:p w14:paraId="6E27CE81">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14:paraId="0D0DC13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67C4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 w:type="dxa"/>
          <w:trHeight w:val="925" w:hRule="atLeast"/>
          <w:jc w:val="center"/>
        </w:trPr>
        <w:tc>
          <w:tcPr>
            <w:tcW w:w="14176" w:type="dxa"/>
            <w:gridSpan w:val="17"/>
            <w:tcBorders>
              <w:top w:val="single" w:color="000000" w:sz="4" w:space="0"/>
              <w:left w:val="single" w:color="000000" w:sz="4" w:space="0"/>
              <w:bottom w:val="single" w:color="000000" w:sz="4" w:space="0"/>
              <w:right w:val="single" w:color="000000" w:sz="4" w:space="0"/>
            </w:tcBorders>
            <w:noWrap w:val="0"/>
            <w:vAlign w:val="center"/>
          </w:tcPr>
          <w:p w14:paraId="29C050A1">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黑体" w:cs="Times New Roman"/>
                <w:i w:val="0"/>
                <w:iCs w:val="0"/>
                <w:color w:val="auto"/>
                <w:kern w:val="0"/>
                <w:sz w:val="24"/>
                <w:szCs w:val="24"/>
                <w:highlight w:val="none"/>
                <w:u w:val="none"/>
                <w:lang w:val="en-US" w:eastAsia="zh-CN" w:bidi="ar"/>
              </w:rPr>
              <w:t>二、打造便捷高效的文旅企业服务体系</w:t>
            </w:r>
          </w:p>
        </w:tc>
      </w:tr>
      <w:tr w14:paraId="7127B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 w:type="dxa"/>
          <w:trHeight w:val="7126" w:hRule="atLeast"/>
          <w:jc w:val="center"/>
        </w:trPr>
        <w:tc>
          <w:tcPr>
            <w:tcW w:w="1053" w:type="dxa"/>
            <w:gridSpan w:val="2"/>
            <w:tcBorders>
              <w:top w:val="single" w:color="000000" w:sz="4" w:space="0"/>
              <w:left w:val="single" w:color="000000" w:sz="4" w:space="0"/>
              <w:bottom w:val="single" w:color="000000" w:sz="4" w:space="0"/>
              <w:right w:val="single" w:color="000000" w:sz="4" w:space="0"/>
            </w:tcBorders>
            <w:noWrap w:val="0"/>
            <w:vAlign w:val="center"/>
          </w:tcPr>
          <w:p w14:paraId="79A201F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5</w:t>
            </w:r>
          </w:p>
        </w:tc>
        <w:tc>
          <w:tcPr>
            <w:tcW w:w="1700" w:type="dxa"/>
            <w:gridSpan w:val="3"/>
            <w:tcBorders>
              <w:top w:val="single" w:color="000000" w:sz="4" w:space="0"/>
              <w:left w:val="single" w:color="000000" w:sz="4" w:space="0"/>
              <w:bottom w:val="single" w:color="000000" w:sz="4" w:space="0"/>
              <w:right w:val="single" w:color="000000" w:sz="4" w:space="0"/>
            </w:tcBorders>
            <w:noWrap w:val="0"/>
            <w:vAlign w:val="center"/>
          </w:tcPr>
          <w:p w14:paraId="4E4E9594">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推行文旅企业服务“一窗受理、多点延伸”</w:t>
            </w:r>
          </w:p>
        </w:tc>
        <w:tc>
          <w:tcPr>
            <w:tcW w:w="6828" w:type="dxa"/>
            <w:gridSpan w:val="4"/>
            <w:tcBorders>
              <w:top w:val="single" w:color="000000" w:sz="4" w:space="0"/>
              <w:left w:val="single" w:color="000000" w:sz="4" w:space="0"/>
              <w:bottom w:val="single" w:color="000000" w:sz="4" w:space="0"/>
              <w:right w:val="single" w:color="000000" w:sz="4" w:space="0"/>
            </w:tcBorders>
            <w:noWrap w:val="0"/>
            <w:vAlign w:val="center"/>
          </w:tcPr>
          <w:p w14:paraId="0ED425C0">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构建“大厅专窗统筹+景区点位延伸+全域服务联动”的文旅政务服务新格局，实现文旅政务服务全流程集成、全场景覆盖、全需求响应。在区政务服务大厅设立文旅产业发展服务专窗，集成受理业务咨询、审批许可等政务服务，配备专业化文旅帮办团队，为经营主体提供“一对一”专属帮办服务；将文旅领域事项办理情况作为区纪委监委“办不成事”监督窗口、人大代表驻政务服务大厅营商环境监督服务站的重要监督内容，建立诉求“快速响应、分类处置、限时办结、闭环管理、回访评价”全链条工作机制，切实破解文旅企业办事堵点难点；推出“文旅经营业态资源信息告知二维码”，推动精细化告知服务，形成证前指导合规经营模式。在清明上河园、万岁山武侠城等核心景区设立政务服务延伸点，布设“税e站”创新服务点、办事指南数据墙，打造“文旅+结婚登记”等服务新场景，构建“办事不出园、服务零距离”的政务服务新模式。</w:t>
            </w:r>
          </w:p>
        </w:tc>
        <w:tc>
          <w:tcPr>
            <w:tcW w:w="1629" w:type="dxa"/>
            <w:gridSpan w:val="3"/>
            <w:tcBorders>
              <w:top w:val="single" w:color="000000" w:sz="4" w:space="0"/>
              <w:left w:val="single" w:color="000000" w:sz="4" w:space="0"/>
              <w:bottom w:val="single" w:color="000000" w:sz="4" w:space="0"/>
              <w:right w:val="single" w:color="000000" w:sz="4" w:space="0"/>
            </w:tcBorders>
            <w:noWrap w:val="0"/>
            <w:vAlign w:val="center"/>
          </w:tcPr>
          <w:p w14:paraId="117E117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区政信局</w:t>
            </w:r>
          </w:p>
        </w:tc>
        <w:tc>
          <w:tcPr>
            <w:tcW w:w="1544" w:type="dxa"/>
            <w:gridSpan w:val="3"/>
            <w:tcBorders>
              <w:top w:val="single" w:color="000000" w:sz="4" w:space="0"/>
              <w:left w:val="single" w:color="000000" w:sz="4" w:space="0"/>
              <w:bottom w:val="single" w:color="000000" w:sz="4" w:space="0"/>
              <w:right w:val="single" w:color="000000" w:sz="4" w:space="0"/>
            </w:tcBorders>
            <w:noWrap w:val="0"/>
            <w:vAlign w:val="center"/>
          </w:tcPr>
          <w:p w14:paraId="1461843B">
            <w:pPr>
              <w:keepNext w:val="0"/>
              <w:keepLines w:val="0"/>
              <w:widowControl/>
              <w:suppressLineNumbers w:val="0"/>
              <w:jc w:val="both"/>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区人大常委会教科文卫工作委员会、区纪委监委、区文旅局、区税务局、区民政局、区司法局、龙亭公安分局等单位配合</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14:paraId="50A9BD7A">
            <w:pPr>
              <w:keepNext w:val="0"/>
              <w:keepLines w:val="0"/>
              <w:widowControl/>
              <w:suppressLineNumbers w:val="0"/>
              <w:jc w:val="left"/>
              <w:textAlignment w:val="center"/>
              <w:rPr>
                <w:rStyle w:val="6"/>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p w14:paraId="3950454A">
      <w:pPr>
        <w:rPr>
          <w:rFonts w:hint="default" w:ascii="Times New Roman" w:hAnsi="Times New Roman" w:cs="Times New Roman"/>
          <w:color w:val="auto"/>
          <w:highlight w:val="none"/>
        </w:rPr>
      </w:pPr>
    </w:p>
    <w:tbl>
      <w:tblPr>
        <w:tblStyle w:val="3"/>
        <w:tblW w:w="142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2"/>
        <w:gridCol w:w="1667"/>
        <w:gridCol w:w="6833"/>
        <w:gridCol w:w="1656"/>
        <w:gridCol w:w="1511"/>
        <w:gridCol w:w="1457"/>
      </w:tblGrid>
      <w:tr w14:paraId="12A65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1" w:hRule="atLeast"/>
          <w:jc w:val="center"/>
        </w:trPr>
        <w:tc>
          <w:tcPr>
            <w:tcW w:w="1092" w:type="dxa"/>
            <w:tcBorders>
              <w:top w:val="single" w:color="000000" w:sz="4" w:space="0"/>
              <w:left w:val="single" w:color="000000" w:sz="4" w:space="0"/>
              <w:bottom w:val="single" w:color="000000" w:sz="4" w:space="0"/>
              <w:right w:val="single" w:color="000000" w:sz="4" w:space="0"/>
            </w:tcBorders>
            <w:noWrap w:val="0"/>
            <w:vAlign w:val="center"/>
          </w:tcPr>
          <w:p w14:paraId="3B3BAEFB">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14:paraId="02CA4B1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33" w:type="dxa"/>
            <w:tcBorders>
              <w:top w:val="single" w:color="000000" w:sz="4" w:space="0"/>
              <w:left w:val="single" w:color="000000" w:sz="4" w:space="0"/>
              <w:bottom w:val="single" w:color="000000" w:sz="4" w:space="0"/>
              <w:right w:val="single" w:color="000000" w:sz="4" w:space="0"/>
            </w:tcBorders>
            <w:noWrap w:val="0"/>
            <w:vAlign w:val="center"/>
          </w:tcPr>
          <w:p w14:paraId="0E70ACB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0464389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11" w:type="dxa"/>
            <w:tcBorders>
              <w:top w:val="single" w:color="000000" w:sz="4" w:space="0"/>
              <w:left w:val="single" w:color="000000" w:sz="4" w:space="0"/>
              <w:bottom w:val="single" w:color="000000" w:sz="4" w:space="0"/>
              <w:right w:val="single" w:color="000000" w:sz="4" w:space="0"/>
            </w:tcBorders>
            <w:noWrap w:val="0"/>
            <w:vAlign w:val="center"/>
          </w:tcPr>
          <w:p w14:paraId="0DDCBF14">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14399C40">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1A241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4" w:hRule="atLeast"/>
          <w:jc w:val="center"/>
        </w:trPr>
        <w:tc>
          <w:tcPr>
            <w:tcW w:w="1092" w:type="dxa"/>
            <w:tcBorders>
              <w:top w:val="single" w:color="000000" w:sz="4" w:space="0"/>
              <w:left w:val="single" w:color="000000" w:sz="4" w:space="0"/>
              <w:bottom w:val="single" w:color="000000" w:sz="4" w:space="0"/>
              <w:right w:val="single" w:color="000000" w:sz="4" w:space="0"/>
            </w:tcBorders>
            <w:noWrap w:val="0"/>
            <w:vAlign w:val="center"/>
          </w:tcPr>
          <w:p w14:paraId="08046126">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6</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14:paraId="5560E80A">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完善演出审批“一件事”改革</w:t>
            </w:r>
          </w:p>
        </w:tc>
        <w:tc>
          <w:tcPr>
            <w:tcW w:w="6833" w:type="dxa"/>
            <w:tcBorders>
              <w:top w:val="single" w:color="000000" w:sz="4" w:space="0"/>
              <w:left w:val="single" w:color="000000" w:sz="4" w:space="0"/>
              <w:bottom w:val="single" w:color="000000" w:sz="4" w:space="0"/>
              <w:right w:val="single" w:color="000000" w:sz="4" w:space="0"/>
            </w:tcBorders>
            <w:noWrap w:val="0"/>
            <w:vAlign w:val="center"/>
          </w:tcPr>
          <w:p w14:paraId="31BBA9C0">
            <w:pPr>
              <w:ind w:firstLine="480" w:firstLineChars="200"/>
              <w:jc w:val="left"/>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以流程再造、协同联动、模式创新为抓手，整合跨部门审批事项、优化服务、延伸触点，提升景区演出项目审批效率与便利度。打造景区演出审批“一件事”集成服务套餐，整合文旅演出资质审批、特种装备使用登记、烟花燃放许可等核心事项，实现“一次申请、并联审批、一窗出件”。推行告知承诺制和容缺受理，优化审批流程，对信用良好、风险可控的申请主体，次要材料不全可先行受理；建立文旅、公安、消防、市场监管等跨部门协同机制，打通数据共享通道，实现“一次申请、一网通办”。创新“主题打包一次审批”管理模式，对景区内同类型、多场次、小规模、常态化的演艺节目，统一打包申报，变“一场一批”为“一类一审”，审批结果有效期内通用，内容不变的增排场次无需重复审批。</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B8F0305">
            <w:pPr>
              <w:jc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区政信局</w:t>
            </w:r>
          </w:p>
          <w:p w14:paraId="7A28A32B">
            <w:pPr>
              <w:jc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区文旅局</w:t>
            </w:r>
          </w:p>
        </w:tc>
        <w:tc>
          <w:tcPr>
            <w:tcW w:w="1511" w:type="dxa"/>
            <w:tcBorders>
              <w:top w:val="single" w:color="000000" w:sz="4" w:space="0"/>
              <w:left w:val="single" w:color="000000" w:sz="4" w:space="0"/>
              <w:bottom w:val="single" w:color="000000" w:sz="4" w:space="0"/>
              <w:right w:val="single" w:color="000000" w:sz="4" w:space="0"/>
            </w:tcBorders>
            <w:noWrap w:val="0"/>
            <w:vAlign w:val="center"/>
          </w:tcPr>
          <w:p w14:paraId="762FA37A">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龙亭公安分局、区消防救援局、区市场监管局等单位配合</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3BE63E9C">
            <w:pPr>
              <w:keepNext w:val="0"/>
              <w:keepLines w:val="0"/>
              <w:widowControl/>
              <w:suppressLineNumbers w:val="0"/>
              <w:jc w:val="left"/>
              <w:textAlignment w:val="center"/>
              <w:rPr>
                <w:rFonts w:hint="default" w:ascii="Times New Roman" w:hAnsi="Times New Roman" w:eastAsia="仿宋" w:cs="Times New Roman"/>
                <w:color w:val="auto"/>
                <w:kern w:val="2"/>
                <w:sz w:val="24"/>
                <w:szCs w:val="24"/>
                <w:highlight w:val="none"/>
                <w:u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p w14:paraId="4E06887F">
      <w:pPr>
        <w:rPr>
          <w:rFonts w:hint="default" w:ascii="Times New Roman" w:hAnsi="Times New Roman" w:cs="Times New Roman"/>
          <w:color w:val="auto"/>
          <w:highlight w:val="none"/>
        </w:rPr>
      </w:pPr>
    </w:p>
    <w:tbl>
      <w:tblPr>
        <w:tblStyle w:val="3"/>
        <w:tblW w:w="143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4"/>
        <w:gridCol w:w="1678"/>
        <w:gridCol w:w="6855"/>
        <w:gridCol w:w="1610"/>
        <w:gridCol w:w="1578"/>
        <w:gridCol w:w="1466"/>
      </w:tblGrid>
      <w:tr w14:paraId="75C01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jc w:val="center"/>
        </w:trPr>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8AA08B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678" w:type="dxa"/>
            <w:tcBorders>
              <w:top w:val="single" w:color="000000" w:sz="4" w:space="0"/>
              <w:left w:val="single" w:color="000000" w:sz="4" w:space="0"/>
              <w:bottom w:val="single" w:color="000000" w:sz="4" w:space="0"/>
              <w:right w:val="single" w:color="000000" w:sz="4" w:space="0"/>
            </w:tcBorders>
            <w:noWrap w:val="0"/>
            <w:vAlign w:val="center"/>
          </w:tcPr>
          <w:p w14:paraId="48BAB00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55" w:type="dxa"/>
            <w:tcBorders>
              <w:top w:val="single" w:color="000000" w:sz="4" w:space="0"/>
              <w:left w:val="single" w:color="000000" w:sz="4" w:space="0"/>
              <w:bottom w:val="single" w:color="000000" w:sz="4" w:space="0"/>
              <w:right w:val="single" w:color="000000" w:sz="4" w:space="0"/>
            </w:tcBorders>
            <w:noWrap w:val="0"/>
            <w:vAlign w:val="center"/>
          </w:tcPr>
          <w:p w14:paraId="4AB53924">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14:paraId="315C2BF9">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69A106DB">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326E23CF">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5E05C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9" w:hRule="atLeast"/>
          <w:jc w:val="center"/>
        </w:trPr>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8A9954C">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7</w:t>
            </w:r>
          </w:p>
        </w:tc>
        <w:tc>
          <w:tcPr>
            <w:tcW w:w="1678" w:type="dxa"/>
            <w:tcBorders>
              <w:top w:val="single" w:color="000000" w:sz="4" w:space="0"/>
              <w:left w:val="single" w:color="000000" w:sz="4" w:space="0"/>
              <w:bottom w:val="single" w:color="000000" w:sz="4" w:space="0"/>
              <w:right w:val="single" w:color="000000" w:sz="4" w:space="0"/>
            </w:tcBorders>
            <w:noWrap w:val="0"/>
            <w:vAlign w:val="center"/>
          </w:tcPr>
          <w:p w14:paraId="29C36D10">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优化民宿开办“一件事”服务</w:t>
            </w:r>
          </w:p>
        </w:tc>
        <w:tc>
          <w:tcPr>
            <w:tcW w:w="6855" w:type="dxa"/>
            <w:tcBorders>
              <w:top w:val="single" w:color="000000" w:sz="4" w:space="0"/>
              <w:left w:val="single" w:color="000000" w:sz="4" w:space="0"/>
              <w:bottom w:val="single" w:color="000000" w:sz="4" w:space="0"/>
              <w:right w:val="single" w:color="000000" w:sz="4" w:space="0"/>
            </w:tcBorders>
            <w:noWrap w:val="0"/>
            <w:vAlign w:val="center"/>
          </w:tcPr>
          <w:p w14:paraId="4E7806C6">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聚焦民宿开办过程中涉及多部门、多环节、多材料的痛点问题，构建“前端精准告知、多部门协同、全流程集成”的民宿经营开办体系。开展民宿开办全流程审批事项精准告知服务，编制《龙亭区民宿经营开办“一件事”办事指南》，对有意向开办民宿的经营主体提前告知证照办理流程、材料要求、合规标准。将民宿开办“一件事”业务融入“文旅服务专窗”，申请人提交一套材料后，由专窗工作人员通过一体化政务服务平台分发至各审批部门并联审批，对重复性材料实行一次提交、共享复用。建立“一表申请、一次完成”的联合踏勘机制，由专窗统一受理踏勘申请，协调市场监管、卫健、公安、消防等部门组成联合踏勘组一次性完成现场核查。将消防安全服务贯穿民宿开办全过程，在开办前提供消防全周期事前指导，开展跟踪服务。</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14:paraId="603C36A4">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区政信局</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188CE4F4">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市黄河生态保护和发展服务中心、区市场监管局、区卫健委、龙亭公安分局、区消防救援局等单位配合</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17EF82BC">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7A33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9" w:hRule="atLeast"/>
          <w:jc w:val="center"/>
        </w:trPr>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7764E18">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noWrap w:val="0"/>
            <w:vAlign w:val="center"/>
          </w:tcPr>
          <w:p w14:paraId="5E6125F0">
            <w:pPr>
              <w:keepNext w:val="0"/>
              <w:keepLines w:val="0"/>
              <w:widowControl/>
              <w:suppressLineNumbers w:val="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深化餐饮店经营“一件事”改革</w:t>
            </w:r>
          </w:p>
        </w:tc>
        <w:tc>
          <w:tcPr>
            <w:tcW w:w="6855" w:type="dxa"/>
            <w:tcBorders>
              <w:top w:val="single" w:color="000000" w:sz="4" w:space="0"/>
              <w:left w:val="single" w:color="000000" w:sz="4" w:space="0"/>
              <w:bottom w:val="single" w:color="000000" w:sz="4" w:space="0"/>
              <w:right w:val="single" w:color="000000" w:sz="4" w:space="0"/>
            </w:tcBorders>
            <w:noWrap w:val="0"/>
            <w:vAlign w:val="center"/>
          </w:tcPr>
          <w:p w14:paraId="536C9EDE">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以数据互通、智能审批为核心抓手，构建高效便捷的餐饮准入准营服务体系。升级打造高效办成餐饮“一件事”2.0版本，深化跨部门数据互通与业务协同，整合注册登记、食品经营许可、健康证办理三大核心系统，打通数据共享壁垒，实现从业人员健康证信息实时共享、智能核验，从源头精简申报材料。依托大模型及OCR增强识别技术，创新构建“AI智能审核、人工精准复核”双轨审批机制，简化申报流程、优化审核环节，针对简易餐饮经营主体，仅需一张身份证即可办理，最快5分钟同步办结营业执照和食品小经营店登记证，实现“秒批秒办”。推行“数智导办、主动提醒”的智慧政务，探索引入AI智能模型，建立“证照到期主动提醒”机制，在食品经营许可证、从业人员健康证等到期前30天，通过短信、微信或电话自动向经营者发送延续提醒，避免因证照过期影响经营。</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14:paraId="0E3D7AB6">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04951C2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区卫健委</w:t>
            </w:r>
          </w:p>
          <w:p w14:paraId="2542D371">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等单位配合</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3CF3846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p w14:paraId="74CF09C8">
      <w:pPr>
        <w:rPr>
          <w:rFonts w:hint="default" w:ascii="Times New Roman" w:hAnsi="Times New Roman" w:cs="Times New Roman"/>
          <w:color w:val="auto"/>
          <w:highlight w:val="none"/>
        </w:rPr>
      </w:pPr>
    </w:p>
    <w:tbl>
      <w:tblPr>
        <w:tblStyle w:val="3"/>
        <w:tblW w:w="144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8"/>
        <w:gridCol w:w="1689"/>
        <w:gridCol w:w="6866"/>
        <w:gridCol w:w="1619"/>
        <w:gridCol w:w="1578"/>
        <w:gridCol w:w="1511"/>
      </w:tblGrid>
      <w:tr w14:paraId="73531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blHeader/>
          <w:jc w:val="center"/>
        </w:trPr>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D2A17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i w:val="0"/>
                <w:iCs w:val="0"/>
                <w:color w:val="auto"/>
                <w:sz w:val="24"/>
                <w:szCs w:val="24"/>
                <w:highlight w:val="none"/>
                <w:u w:val="none"/>
              </w:rPr>
            </w:pPr>
            <w:r>
              <w:rPr>
                <w:rStyle w:val="5"/>
                <w:rFonts w:hint="default" w:ascii="Times New Roman" w:hAnsi="Times New Roman" w:cs="Times New Roman"/>
                <w:b w:val="0"/>
                <w:bCs/>
                <w:color w:val="auto"/>
                <w:highlight w:val="none"/>
                <w:lang w:val="en-US" w:eastAsia="zh-CN" w:bidi="ar"/>
              </w:rPr>
              <w:t>序 号</w:t>
            </w:r>
          </w:p>
        </w:tc>
        <w:tc>
          <w:tcPr>
            <w:tcW w:w="1689" w:type="dxa"/>
            <w:tcBorders>
              <w:top w:val="single" w:color="000000" w:sz="4" w:space="0"/>
              <w:left w:val="single" w:color="000000" w:sz="4" w:space="0"/>
              <w:bottom w:val="single" w:color="000000" w:sz="4" w:space="0"/>
              <w:right w:val="single" w:color="000000" w:sz="4" w:space="0"/>
            </w:tcBorders>
            <w:noWrap w:val="0"/>
            <w:vAlign w:val="center"/>
          </w:tcPr>
          <w:p w14:paraId="5DF728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i w:val="0"/>
                <w:iCs w:val="0"/>
                <w:color w:val="auto"/>
                <w:sz w:val="24"/>
                <w:szCs w:val="24"/>
                <w:highlight w:val="none"/>
                <w:u w:val="none"/>
              </w:rPr>
            </w:pPr>
            <w:r>
              <w:rPr>
                <w:rStyle w:val="5"/>
                <w:rFonts w:hint="default" w:ascii="Times New Roman" w:hAnsi="Times New Roman" w:cs="Times New Roman"/>
                <w:b w:val="0"/>
                <w:bCs/>
                <w:color w:val="auto"/>
                <w:highlight w:val="none"/>
                <w:lang w:val="en-US" w:eastAsia="zh-CN" w:bidi="ar"/>
              </w:rPr>
              <w:t>改革事项</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599956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i w:val="0"/>
                <w:iCs w:val="0"/>
                <w:color w:val="auto"/>
                <w:sz w:val="24"/>
                <w:szCs w:val="24"/>
                <w:highlight w:val="none"/>
                <w:u w:val="none"/>
              </w:rPr>
            </w:pPr>
            <w:r>
              <w:rPr>
                <w:rStyle w:val="5"/>
                <w:rFonts w:hint="default" w:ascii="Times New Roman" w:hAnsi="Times New Roman" w:cs="Times New Roman"/>
                <w:b w:val="0"/>
                <w:bCs/>
                <w:color w:val="auto"/>
                <w:highlight w:val="none"/>
                <w:lang w:val="en-US" w:eastAsia="zh-CN" w:bidi="ar"/>
              </w:rPr>
              <w:t>具体举措</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52540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i w:val="0"/>
                <w:iCs w:val="0"/>
                <w:color w:val="auto"/>
                <w:sz w:val="24"/>
                <w:szCs w:val="24"/>
                <w:highlight w:val="none"/>
                <w:u w:val="none"/>
              </w:rPr>
            </w:pPr>
            <w:r>
              <w:rPr>
                <w:rStyle w:val="5"/>
                <w:rFonts w:hint="default" w:ascii="Times New Roman" w:hAnsi="Times New Roman" w:cs="Times New Roman"/>
                <w:b w:val="0"/>
                <w:bCs/>
                <w:color w:val="auto"/>
                <w:highlight w:val="none"/>
                <w:lang w:val="en-US" w:eastAsia="zh-CN" w:bidi="ar"/>
              </w:rPr>
              <w:t>牵头单位</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7D9C58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i w:val="0"/>
                <w:iCs w:val="0"/>
                <w:color w:val="auto"/>
                <w:sz w:val="24"/>
                <w:szCs w:val="24"/>
                <w:highlight w:val="none"/>
                <w:u w:val="none"/>
              </w:rPr>
            </w:pPr>
            <w:r>
              <w:rPr>
                <w:rStyle w:val="5"/>
                <w:rFonts w:hint="default" w:ascii="Times New Roman" w:hAnsi="Times New Roman" w:cs="Times New Roman"/>
                <w:b w:val="0"/>
                <w:bCs/>
                <w:color w:val="auto"/>
                <w:highlight w:val="none"/>
                <w:lang w:val="en-US" w:eastAsia="zh-CN" w:bidi="ar"/>
              </w:rPr>
              <w:t>配合单位</w:t>
            </w:r>
          </w:p>
        </w:tc>
        <w:tc>
          <w:tcPr>
            <w:tcW w:w="1511" w:type="dxa"/>
            <w:tcBorders>
              <w:top w:val="single" w:color="000000" w:sz="4" w:space="0"/>
              <w:left w:val="single" w:color="000000" w:sz="4" w:space="0"/>
              <w:bottom w:val="single" w:color="000000" w:sz="4" w:space="0"/>
              <w:right w:val="single" w:color="000000" w:sz="4" w:space="0"/>
            </w:tcBorders>
            <w:noWrap w:val="0"/>
            <w:vAlign w:val="center"/>
          </w:tcPr>
          <w:p w14:paraId="7309F8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4DD0F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8D46846">
            <w:pPr>
              <w:keepNext w:val="0"/>
              <w:keepLines w:val="0"/>
              <w:widowControl/>
              <w:suppressLineNumbers w:val="0"/>
              <w:snapToGrid w:val="0"/>
              <w:ind w:left="0" w:leftChars="0" w:right="0" w:rightChars="0" w:firstLine="0" w:firstLineChars="0"/>
              <w:jc w:val="center"/>
              <w:textAlignment w:val="center"/>
              <w:rPr>
                <w:rStyle w:val="5"/>
                <w:rFonts w:hint="default" w:ascii="Times New Roman" w:hAnsi="Times New Roman" w:eastAsia="仿宋_GB2312" w:cs="Times New Roman"/>
                <w:color w:val="auto"/>
                <w:sz w:val="24"/>
                <w:highlight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9</w:t>
            </w:r>
          </w:p>
        </w:tc>
        <w:tc>
          <w:tcPr>
            <w:tcW w:w="1689" w:type="dxa"/>
            <w:tcBorders>
              <w:top w:val="single" w:color="000000" w:sz="4" w:space="0"/>
              <w:left w:val="single" w:color="000000" w:sz="4" w:space="0"/>
              <w:bottom w:val="single" w:color="000000" w:sz="4" w:space="0"/>
              <w:right w:val="single" w:color="000000" w:sz="4" w:space="0"/>
            </w:tcBorders>
            <w:noWrap w:val="0"/>
            <w:vAlign w:val="center"/>
          </w:tcPr>
          <w:p w14:paraId="26FD1C86">
            <w:pPr>
              <w:keepNext w:val="0"/>
              <w:keepLines w:val="0"/>
              <w:widowControl/>
              <w:suppressLineNumbers w:val="0"/>
              <w:jc w:val="left"/>
              <w:textAlignment w:val="center"/>
              <w:rPr>
                <w:rStyle w:val="5"/>
                <w:rFonts w:hint="default" w:ascii="Times New Roman" w:hAnsi="Times New Roman" w:eastAsia="仿宋_GB2312" w:cs="Times New Roman"/>
                <w:color w:val="auto"/>
                <w:sz w:val="24"/>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探索妆造馆开办集成服务</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0F637BC2">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围绕宋服妆造、旅拍摄影等特色业态发展需求，构建集许可审批、技能培训、行业自律于一体的全链条服务模式，推动妆造产业规范化、标准化、特色化发展。编制妆造馆经营许可标准化事项清单和办事指南，明确申请材料、办理时限、办理条件、常见问题等要素，形成“一事项一标准”，建立清单动态调整机制，根据法律法规修订和政策变化每年至少调整一次，并通过政府网站、政务新媒体向社会公开。集成“宋服妆造”主题服务套餐，针对宋服妆造业态，在推动“宋服妆造经营”类行政审批许可、相关政策咨询的基础上，整合妆造人才信息、行业协会等服务资源，进一步打造集许可审批、技能培训等行业信息于一体的专项集约告知服务。推出“宋服妆造行业资源信息告知二维码”，将妆造人才、培训、融资、合规经营平安险、合规化经营告知等信息形成指南，融入二维码。经营主体通过扫码提前得知“宋服妆造”行业动态及业务经办流程，形成证前指导合规经营模式。</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FA5D97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区政信局</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089544B5">
            <w:pPr>
              <w:keepNext w:val="0"/>
              <w:keepLines w:val="0"/>
              <w:widowControl/>
              <w:suppressLineNumbers w:val="0"/>
              <w:jc w:val="both"/>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区商务局、区市场监管局、区卫健委、区文旅局、区人社局、区金融服务中心等单位配合</w:t>
            </w:r>
          </w:p>
        </w:tc>
        <w:tc>
          <w:tcPr>
            <w:tcW w:w="1511" w:type="dxa"/>
            <w:tcBorders>
              <w:top w:val="single" w:color="000000" w:sz="4" w:space="0"/>
              <w:left w:val="single" w:color="000000" w:sz="4" w:space="0"/>
              <w:bottom w:val="single" w:color="000000" w:sz="4" w:space="0"/>
              <w:right w:val="single" w:color="000000" w:sz="4" w:space="0"/>
            </w:tcBorders>
            <w:noWrap w:val="0"/>
            <w:vAlign w:val="center"/>
          </w:tcPr>
          <w:p w14:paraId="644CE229">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2027年9月</w:t>
            </w:r>
          </w:p>
        </w:tc>
      </w:tr>
      <w:tr w14:paraId="01C80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2" w:hRule="atLeast"/>
          <w:jc w:val="center"/>
        </w:trPr>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10829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689" w:type="dxa"/>
            <w:tcBorders>
              <w:top w:val="single" w:color="000000" w:sz="4" w:space="0"/>
              <w:left w:val="single" w:color="000000" w:sz="4" w:space="0"/>
              <w:bottom w:val="single" w:color="000000" w:sz="4" w:space="0"/>
              <w:right w:val="single" w:color="000000" w:sz="4" w:space="0"/>
            </w:tcBorders>
            <w:noWrap w:val="0"/>
            <w:vAlign w:val="center"/>
          </w:tcPr>
          <w:p w14:paraId="17737E6A">
            <w:pPr>
              <w:keepNext w:val="0"/>
              <w:keepLines w:val="0"/>
              <w:widowControl/>
              <w:suppressLineNumbers w:val="0"/>
              <w:jc w:val="left"/>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探索文旅政务服务远程帮办</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6CC9C3B9">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打造“文旅专享”远程帮办服务，梳理民宿开办、宋服妆造店开办、餐饮店开办、营业性演出审批等文旅高频事项，编制《龙亭区文旅经营远程帮办服务事项清单》。在清明上河园、万岁山武侠城等核心景区商户集中区域布设景区“政务服务咨询二维码”，商户通过扫码提交需求，将信息实时推送至文旅、市场监管、新闻出版等职能部门，各部门通过电话、微信、视频等方式提供政策咨询、业务申报等远程指导服务，实现“景区内诉求一键提交、部门直达响应”。拓展文旅远程帮办应用场景，针对外地经营主体，推动实现“远程申请、本地办证”；针对不会智能设备的经营者，联合景区管理方建立“暖心帮办小分队”，上门提供政策解读、材料填写、证照代办等服务。</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C57389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区政信局</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5C2CCF9C">
            <w:pPr>
              <w:keepNext w:val="0"/>
              <w:keepLines w:val="0"/>
              <w:widowControl/>
              <w:suppressLineNumbers w:val="0"/>
              <w:jc w:val="both"/>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区文旅局、区市场监管局、龙亭公安分局、区卫健委、区新闻出版局等单位配合</w:t>
            </w:r>
          </w:p>
        </w:tc>
        <w:tc>
          <w:tcPr>
            <w:tcW w:w="1511" w:type="dxa"/>
            <w:tcBorders>
              <w:top w:val="single" w:color="000000" w:sz="4" w:space="0"/>
              <w:left w:val="single" w:color="000000" w:sz="4" w:space="0"/>
              <w:bottom w:val="single" w:color="000000" w:sz="4" w:space="0"/>
              <w:right w:val="single" w:color="000000" w:sz="4" w:space="0"/>
            </w:tcBorders>
            <w:noWrap w:val="0"/>
            <w:vAlign w:val="center"/>
          </w:tcPr>
          <w:p w14:paraId="382A7537">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2027年9月</w:t>
            </w:r>
          </w:p>
        </w:tc>
      </w:tr>
    </w:tbl>
    <w:p w14:paraId="3B77D46A">
      <w:pPr>
        <w:rPr>
          <w:rFonts w:hint="default" w:ascii="Times New Roman" w:hAnsi="Times New Roman" w:cs="Times New Roman"/>
          <w:color w:val="auto"/>
          <w:highlight w:val="none"/>
        </w:rPr>
      </w:pPr>
    </w:p>
    <w:tbl>
      <w:tblPr>
        <w:tblStyle w:val="3"/>
        <w:tblW w:w="14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1"/>
        <w:gridCol w:w="1700"/>
        <w:gridCol w:w="6866"/>
        <w:gridCol w:w="1626"/>
        <w:gridCol w:w="1600"/>
        <w:gridCol w:w="1467"/>
      </w:tblGrid>
      <w:tr w14:paraId="485F9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1161" w:type="dxa"/>
            <w:tcBorders>
              <w:top w:val="single" w:color="000000" w:sz="4" w:space="0"/>
              <w:left w:val="single" w:color="000000" w:sz="4" w:space="0"/>
              <w:bottom w:val="single" w:color="000000" w:sz="4" w:space="0"/>
              <w:right w:val="single" w:color="000000" w:sz="4" w:space="0"/>
            </w:tcBorders>
            <w:noWrap w:val="0"/>
            <w:vAlign w:val="center"/>
          </w:tcPr>
          <w:p w14:paraId="68752F0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58B02EC9">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2B2D9561">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5404CFCC">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62B154BB">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CFBAF40">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634F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2" w:hRule="atLeast"/>
          <w:jc w:val="center"/>
        </w:trPr>
        <w:tc>
          <w:tcPr>
            <w:tcW w:w="1161" w:type="dxa"/>
            <w:tcBorders>
              <w:top w:val="single" w:color="000000" w:sz="4" w:space="0"/>
              <w:left w:val="single" w:color="000000" w:sz="4" w:space="0"/>
              <w:bottom w:val="single" w:color="000000" w:sz="4" w:space="0"/>
              <w:right w:val="single" w:color="000000" w:sz="4" w:space="0"/>
            </w:tcBorders>
            <w:noWrap w:val="0"/>
            <w:vAlign w:val="center"/>
          </w:tcPr>
          <w:p w14:paraId="501D0C07">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11</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01A030E2">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构建经营主体诉求响应闭环机制</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6476423C">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以平台赋能、流程提速、清单化管理为抓手，畅通政企沟通渠道，推动经营主体诉求“快速受理、高效处置、全程跟踪、闭环办结”。升级“您来说、我来办”平台，将文旅产业经营主体日常走访服务情况、高频事项办理情况、执法部门执法情况作为重要评价内容，实时收集经营主体在生产经营过程中需要协调解决的问题，以及对优化营商环境的意见建议。健全“1121”工作机制，发挥平台快速、灵活、便捷特点，收到问题诉求后，1个工作日受理交办、1个工作日电话联系经营主体、2个工作日上门对接、问题诉求解决后的1个工作日内进行反馈。建立健全经营主体问题清单、需求清单、评价清单，切实为经营主体纾困解难。</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1A75A09E">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区优化营商环境服务中心</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0D47D6FE">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区文旅局、区发改委、区商务局、区农业农村局、两乡四办等单位配合</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D07ADE4">
            <w:pPr>
              <w:keepNext w:val="0"/>
              <w:keepLines w:val="0"/>
              <w:widowControl/>
              <w:suppressLineNumbers w:val="0"/>
              <w:jc w:val="left"/>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792B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jc w:val="center"/>
        </w:trPr>
        <w:tc>
          <w:tcPr>
            <w:tcW w:w="14420" w:type="dxa"/>
            <w:gridSpan w:val="6"/>
            <w:tcBorders>
              <w:top w:val="single" w:color="000000" w:sz="4" w:space="0"/>
              <w:left w:val="single" w:color="000000" w:sz="4" w:space="0"/>
              <w:bottom w:val="single" w:color="000000" w:sz="4" w:space="0"/>
              <w:right w:val="single" w:color="000000" w:sz="4" w:space="0"/>
            </w:tcBorders>
            <w:noWrap w:val="0"/>
            <w:vAlign w:val="center"/>
          </w:tcPr>
          <w:p w14:paraId="441E1772">
            <w:pPr>
              <w:keepNext w:val="0"/>
              <w:keepLines w:val="0"/>
              <w:widowControl/>
              <w:suppressLineNumbers w:val="0"/>
              <w:jc w:val="both"/>
              <w:textAlignment w:val="top"/>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黑体" w:cs="Times New Roman"/>
                <w:i w:val="0"/>
                <w:iCs w:val="0"/>
                <w:color w:val="auto"/>
                <w:kern w:val="0"/>
                <w:sz w:val="24"/>
                <w:szCs w:val="24"/>
                <w:highlight w:val="none"/>
                <w:u w:val="none"/>
                <w:lang w:val="en-US" w:eastAsia="zh-CN" w:bidi="ar"/>
              </w:rPr>
              <w:t>三、建设安全放心的文旅游客消费环境</w:t>
            </w:r>
          </w:p>
        </w:tc>
      </w:tr>
      <w:tr w14:paraId="300BF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2" w:hRule="atLeast"/>
          <w:jc w:val="center"/>
        </w:trPr>
        <w:tc>
          <w:tcPr>
            <w:tcW w:w="1161" w:type="dxa"/>
            <w:tcBorders>
              <w:top w:val="single" w:color="000000" w:sz="4" w:space="0"/>
              <w:left w:val="single" w:color="000000" w:sz="4" w:space="0"/>
              <w:bottom w:val="single" w:color="000000" w:sz="4" w:space="0"/>
              <w:right w:val="single" w:color="000000" w:sz="4" w:space="0"/>
            </w:tcBorders>
            <w:noWrap w:val="0"/>
            <w:vAlign w:val="center"/>
          </w:tcPr>
          <w:p w14:paraId="3A88AA6A">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12</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7399BE5">
            <w:pPr>
              <w:keepNext w:val="0"/>
              <w:keepLines w:val="0"/>
              <w:widowControl/>
              <w:suppressLineNumbers w:val="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健全旅游安全智慧管理体系</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3C0B0667">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聚焦客流管控滞后、预警处置被动、协同联动不足等堵点，构建“实时监测、自动预警、限流分流、协同处置”全流程管理体系。搭建全域智慧监管中枢平台，精准核定各景区日最大承载量和瞬时承载量，布设客流统计摄像头、红外感应设备，实现“一屏观全域、一网管全程”。建立智能预警限流机制，以游客量达核定最大承载量80%为核心预警线，设置三级预警，分别采取线上停售、线下停售、限流管控等措施。健全跨部门协同处置机制，构建“文旅统筹、多部门联动”体系，预警指令下达后，公安维护秩序、交通调配运力、应急保障救援、景区现场分流。完善长效运维与优化机制，推动组建专业运维团队负责平台维护和设备检修，节假日后复盘客流数据、优化预警值及分流路线。</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7FC0A577">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区文旅局</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2E8DE716">
            <w:pPr>
              <w:keepNext w:val="0"/>
              <w:keepLines w:val="0"/>
              <w:widowControl/>
              <w:suppressLineNumbers w:val="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kern w:val="0"/>
                <w:sz w:val="24"/>
                <w:szCs w:val="24"/>
                <w:highlight w:val="none"/>
                <w:u w:val="none"/>
                <w:lang w:val="en-US" w:eastAsia="zh-CN" w:bidi="ar"/>
              </w:rPr>
              <w:t>区平安建设促进中心、龙亭公安分局、区应急局、区消防救援局等单位配合</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7899D2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28F0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1161" w:type="dxa"/>
            <w:tcBorders>
              <w:top w:val="single" w:color="000000" w:sz="4" w:space="0"/>
              <w:left w:val="single" w:color="000000" w:sz="4" w:space="0"/>
              <w:bottom w:val="single" w:color="000000" w:sz="4" w:space="0"/>
              <w:right w:val="single" w:color="000000" w:sz="4" w:space="0"/>
            </w:tcBorders>
            <w:noWrap w:val="0"/>
            <w:vAlign w:val="center"/>
          </w:tcPr>
          <w:p w14:paraId="4E6FC810">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E49777D">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41201D22">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09B7837D">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58F1B4A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57D2F02">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74DBF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9" w:hRule="atLeast"/>
          <w:jc w:val="center"/>
        </w:trPr>
        <w:tc>
          <w:tcPr>
            <w:tcW w:w="1161" w:type="dxa"/>
            <w:tcBorders>
              <w:top w:val="single" w:color="000000" w:sz="4" w:space="0"/>
              <w:left w:val="single" w:color="000000" w:sz="4" w:space="0"/>
              <w:bottom w:val="single" w:color="000000" w:sz="4" w:space="0"/>
              <w:right w:val="single" w:color="000000" w:sz="4" w:space="0"/>
            </w:tcBorders>
            <w:noWrap w:val="0"/>
            <w:vAlign w:val="center"/>
          </w:tcPr>
          <w:p w14:paraId="5C78A995">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13</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C96A758">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实施“汴字号”护航行动</w:t>
            </w:r>
          </w:p>
        </w:tc>
        <w:tc>
          <w:tcPr>
            <w:tcW w:w="6866" w:type="dxa"/>
            <w:tcBorders>
              <w:top w:val="single" w:color="000000" w:sz="4" w:space="0"/>
              <w:left w:val="single" w:color="000000" w:sz="4" w:space="0"/>
              <w:bottom w:val="single" w:color="000000" w:sz="4" w:space="0"/>
              <w:right w:val="single" w:color="000000" w:sz="4" w:space="0"/>
            </w:tcBorders>
            <w:noWrap w:val="0"/>
            <w:vAlign w:val="center"/>
          </w:tcPr>
          <w:p w14:paraId="134EBDFA">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聚焦宋韵文旅IP与“汴字号”品牌保护，构建司法、行政协同发力的知识产权全链条保护体系，为“汴字号”经营主体提供全方位权益保障。优化司法办案审判体系，组建专业化检察办案团队，深化“四大检察”融合履职，完善“云上知检”功能；建强法院“三合一”专业审判团队，推广应用“云上法庭”，推动案件全流程线上办理与纠纷快速调处。升级行政执法保护体系，打造商业秘密保护示范单位，落实行刑双向衔接机制，开通“汴字号”维权绿色通道，为经营主体提供“点对点”法律指导。强化精准保护与普法宣传，将全市非遗、“汴字号”“老字号”等经营主体纳入知识产权保护名录实行精准保护；聚焦景区内及网络平台等重点领域，开展知识产权侵权专项整治行动，严厉打击侵权违法行为；联合开展“知识产权进景区”“走进非遗市集”等特色活动，针对性开展普法培训，提升经营主体维权意识与能力。</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14:paraId="09E58CC2">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区检察院</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0991BC4A">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区法院、区市场监管局、龙亭公安分局等单位配合</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FEF778F">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p w14:paraId="71AF3338">
      <w:pPr>
        <w:rPr>
          <w:rFonts w:hint="default" w:ascii="Times New Roman" w:hAnsi="Times New Roman" w:cs="Times New Roman"/>
          <w:color w:val="auto"/>
          <w:highlight w:val="none"/>
        </w:rPr>
      </w:pPr>
    </w:p>
    <w:tbl>
      <w:tblPr>
        <w:tblStyle w:val="3"/>
        <w:tblW w:w="144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3"/>
        <w:gridCol w:w="1700"/>
        <w:gridCol w:w="6860"/>
        <w:gridCol w:w="1630"/>
        <w:gridCol w:w="1590"/>
        <w:gridCol w:w="1460"/>
      </w:tblGrid>
      <w:tr w14:paraId="2FABE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jc w:val="center"/>
        </w:trPr>
        <w:tc>
          <w:tcPr>
            <w:tcW w:w="1203" w:type="dxa"/>
            <w:tcBorders>
              <w:top w:val="single" w:color="000000" w:sz="4" w:space="0"/>
              <w:left w:val="single" w:color="000000" w:sz="4" w:space="0"/>
              <w:bottom w:val="single" w:color="000000" w:sz="4" w:space="0"/>
              <w:right w:val="single" w:color="000000" w:sz="4" w:space="0"/>
            </w:tcBorders>
            <w:noWrap w:val="0"/>
            <w:vAlign w:val="center"/>
          </w:tcPr>
          <w:p w14:paraId="78787AF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F21A95C">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60" w:type="dxa"/>
            <w:tcBorders>
              <w:top w:val="single" w:color="000000" w:sz="4" w:space="0"/>
              <w:left w:val="single" w:color="000000" w:sz="4" w:space="0"/>
              <w:bottom w:val="single" w:color="000000" w:sz="4" w:space="0"/>
              <w:right w:val="single" w:color="000000" w:sz="4" w:space="0"/>
            </w:tcBorders>
            <w:noWrap w:val="0"/>
            <w:vAlign w:val="center"/>
          </w:tcPr>
          <w:p w14:paraId="1947A4F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30" w:type="dxa"/>
            <w:tcBorders>
              <w:top w:val="single" w:color="000000" w:sz="4" w:space="0"/>
              <w:left w:val="single" w:color="000000" w:sz="4" w:space="0"/>
              <w:bottom w:val="single" w:color="000000" w:sz="4" w:space="0"/>
              <w:right w:val="single" w:color="000000" w:sz="4" w:space="0"/>
            </w:tcBorders>
            <w:noWrap w:val="0"/>
            <w:vAlign w:val="center"/>
          </w:tcPr>
          <w:p w14:paraId="60EC791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361240E">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460" w:type="dxa"/>
            <w:tcBorders>
              <w:top w:val="single" w:color="000000" w:sz="4" w:space="0"/>
              <w:left w:val="single" w:color="000000" w:sz="4" w:space="0"/>
              <w:bottom w:val="single" w:color="000000" w:sz="4" w:space="0"/>
              <w:right w:val="single" w:color="000000" w:sz="4" w:space="0"/>
            </w:tcBorders>
            <w:noWrap w:val="0"/>
            <w:vAlign w:val="center"/>
          </w:tcPr>
          <w:p w14:paraId="5DBDCEA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7809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0" w:hRule="atLeast"/>
          <w:jc w:val="center"/>
        </w:trPr>
        <w:tc>
          <w:tcPr>
            <w:tcW w:w="1203" w:type="dxa"/>
            <w:tcBorders>
              <w:top w:val="single" w:color="000000" w:sz="4" w:space="0"/>
              <w:left w:val="single" w:color="000000" w:sz="4" w:space="0"/>
              <w:bottom w:val="single" w:color="000000" w:sz="4" w:space="0"/>
              <w:right w:val="single" w:color="000000" w:sz="4" w:space="0"/>
            </w:tcBorders>
            <w:noWrap w:val="0"/>
            <w:vAlign w:val="center"/>
          </w:tcPr>
          <w:p w14:paraId="4CD6D5DD">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14</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EDEB2A6">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创新宋韵文旅特色放心消费险</w:t>
            </w:r>
          </w:p>
        </w:tc>
        <w:tc>
          <w:tcPr>
            <w:tcW w:w="6860" w:type="dxa"/>
            <w:tcBorders>
              <w:top w:val="single" w:color="000000" w:sz="4" w:space="0"/>
              <w:left w:val="single" w:color="000000" w:sz="4" w:space="0"/>
              <w:bottom w:val="single" w:color="000000" w:sz="4" w:space="0"/>
              <w:right w:val="single" w:color="000000" w:sz="4" w:space="0"/>
            </w:tcBorders>
            <w:noWrap w:val="0"/>
            <w:vAlign w:val="center"/>
          </w:tcPr>
          <w:p w14:paraId="451A3395">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聚焦文旅消费场景痛点，创新推出宋韵文旅特色消费险，构建“险种多元、快速理赔、机制长效、保障优化”四位一体服务模式。将保险机制引入消费维权，保障涵盖“吃、住、行、游、购、娱”六大消费场景，建立政企共担机制，明确在责任难认定或损失难赔偿时，由保险公司先行赔付，破解维权难题。聚焦剧本游园、民宿餐饮、文化体验等场景，优化快速理赔机制，实现消费纠纷“当场受理、当场调解、当场赔付”，保障游客沉浸式体验。建立政企战略合作协调机制，定期会商优化方案；成立消费纠纷理赔服务工作组，强化监督与风险预警；制定重特大案件应急预案，防范舆情风险，确保制度常行长效。出台配套文件，规范理赔标准与流程，建立监督机制，严防恶意骗赔；开发线上理赔平台，实现快速响应、处置流程实时可查。</w:t>
            </w:r>
          </w:p>
        </w:tc>
        <w:tc>
          <w:tcPr>
            <w:tcW w:w="1630" w:type="dxa"/>
            <w:tcBorders>
              <w:top w:val="single" w:color="000000" w:sz="4" w:space="0"/>
              <w:left w:val="single" w:color="000000" w:sz="4" w:space="0"/>
              <w:bottom w:val="single" w:color="000000" w:sz="4" w:space="0"/>
              <w:right w:val="single" w:color="000000" w:sz="4" w:space="0"/>
            </w:tcBorders>
            <w:noWrap w:val="0"/>
            <w:vAlign w:val="center"/>
          </w:tcPr>
          <w:p w14:paraId="2729A301">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8DFF49A">
            <w:pPr>
              <w:keepNext w:val="0"/>
              <w:keepLines w:val="0"/>
              <w:widowControl/>
              <w:suppressLineNumbers w:val="0"/>
              <w:jc w:val="both"/>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区商务局、区金融服务中心等单位配合</w:t>
            </w:r>
          </w:p>
        </w:tc>
        <w:tc>
          <w:tcPr>
            <w:tcW w:w="1460" w:type="dxa"/>
            <w:tcBorders>
              <w:top w:val="single" w:color="000000" w:sz="4" w:space="0"/>
              <w:left w:val="single" w:color="000000" w:sz="4" w:space="0"/>
              <w:bottom w:val="single" w:color="000000" w:sz="4" w:space="0"/>
              <w:right w:val="single" w:color="000000" w:sz="4" w:space="0"/>
            </w:tcBorders>
            <w:noWrap w:val="0"/>
            <w:vAlign w:val="center"/>
          </w:tcPr>
          <w:p w14:paraId="7C7D72D1">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7AB5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8" w:hRule="atLeast"/>
          <w:jc w:val="center"/>
        </w:trPr>
        <w:tc>
          <w:tcPr>
            <w:tcW w:w="1203" w:type="dxa"/>
            <w:tcBorders>
              <w:top w:val="single" w:color="000000" w:sz="4" w:space="0"/>
              <w:left w:val="single" w:color="000000" w:sz="4" w:space="0"/>
              <w:bottom w:val="single" w:color="000000" w:sz="4" w:space="0"/>
              <w:right w:val="single" w:color="000000" w:sz="4" w:space="0"/>
            </w:tcBorders>
            <w:noWrap w:val="0"/>
            <w:vAlign w:val="center"/>
          </w:tcPr>
          <w:p w14:paraId="3A481F2C">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15</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679EA0CF">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推行旅游消费纠纷在线解决机制（ODR）</w:t>
            </w:r>
          </w:p>
        </w:tc>
        <w:tc>
          <w:tcPr>
            <w:tcW w:w="6860" w:type="dxa"/>
            <w:tcBorders>
              <w:top w:val="single" w:color="000000" w:sz="4" w:space="0"/>
              <w:left w:val="single" w:color="000000" w:sz="4" w:space="0"/>
              <w:bottom w:val="single" w:color="000000" w:sz="4" w:space="0"/>
              <w:right w:val="single" w:color="000000" w:sz="4" w:space="0"/>
            </w:tcBorders>
            <w:noWrap w:val="0"/>
            <w:vAlign w:val="center"/>
          </w:tcPr>
          <w:p w14:paraId="28B9C281">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优化消费保障服务体系，完善“全场景、快响应、强共治、深联动”的全方位消费保障机制，筑牢旅游消费安全防线。拓展保障场景，针对宋服体验、剧本杀等文旅新业态定制专属保险，确保新消费场景有险可保；推广“零材料”或“一证办理”，消费者仅需提供消费凭证，其余调查核实由内部流转完成。实施“快反提效”，推行“1330”应急响应，即依托ODR线上平台实现1分钟内接诉即转，3分钟内联系当事人，30分钟内执法人员或景区维权联络点人员抵达现场；建立“节庆战时”模式，将理赔端口前移至景区维权服务站，实现小额纠纷“现场定损、当场赔付”。深化市场监管与保险机构联勤联动，建立联席会议制度，针对重特大、群体性消费纠纷，启动联合查勘、联合调解机制，拓展ODR协同处置能力，确保理赔精准高效。</w:t>
            </w:r>
          </w:p>
        </w:tc>
        <w:tc>
          <w:tcPr>
            <w:tcW w:w="1630" w:type="dxa"/>
            <w:tcBorders>
              <w:top w:val="single" w:color="000000" w:sz="4" w:space="0"/>
              <w:left w:val="single" w:color="000000" w:sz="4" w:space="0"/>
              <w:bottom w:val="single" w:color="000000" w:sz="4" w:space="0"/>
              <w:right w:val="single" w:color="000000" w:sz="4" w:space="0"/>
            </w:tcBorders>
            <w:noWrap w:val="0"/>
            <w:vAlign w:val="center"/>
          </w:tcPr>
          <w:p w14:paraId="38108E2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0CCB990">
            <w:pPr>
              <w:keepNext w:val="0"/>
              <w:keepLines w:val="0"/>
              <w:widowControl/>
              <w:suppressLineNumbers w:val="0"/>
              <w:jc w:val="both"/>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区文旅局、区商务局、龙亭公安分局、区法院等单位配合</w:t>
            </w:r>
          </w:p>
        </w:tc>
        <w:tc>
          <w:tcPr>
            <w:tcW w:w="1460" w:type="dxa"/>
            <w:tcBorders>
              <w:top w:val="single" w:color="000000" w:sz="4" w:space="0"/>
              <w:left w:val="single" w:color="000000" w:sz="4" w:space="0"/>
              <w:bottom w:val="single" w:color="000000" w:sz="4" w:space="0"/>
              <w:right w:val="single" w:color="000000" w:sz="4" w:space="0"/>
            </w:tcBorders>
            <w:noWrap w:val="0"/>
            <w:vAlign w:val="center"/>
          </w:tcPr>
          <w:p w14:paraId="1C633C8E">
            <w:pPr>
              <w:keepNext w:val="0"/>
              <w:keepLines w:val="0"/>
              <w:widowControl/>
              <w:suppressLineNumbers w:val="0"/>
              <w:jc w:val="left"/>
              <w:textAlignment w:val="center"/>
              <w:rPr>
                <w:rStyle w:val="6"/>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tbl>
      <w:tblPr>
        <w:tblStyle w:val="3"/>
        <w:tblpPr w:leftFromText="180" w:rightFromText="180" w:vertAnchor="text" w:horzAnchor="page" w:tblpX="1184" w:tblpY="284"/>
        <w:tblOverlap w:val="never"/>
        <w:tblW w:w="146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30"/>
        <w:gridCol w:w="1710"/>
        <w:gridCol w:w="10"/>
        <w:gridCol w:w="6872"/>
        <w:gridCol w:w="5"/>
        <w:gridCol w:w="1567"/>
        <w:gridCol w:w="11"/>
        <w:gridCol w:w="1589"/>
        <w:gridCol w:w="33"/>
        <w:gridCol w:w="1500"/>
        <w:gridCol w:w="33"/>
      </w:tblGrid>
      <w:tr w14:paraId="52C06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1072" w:hRule="atLeast"/>
        </w:trPr>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F9F735F">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7A2D477">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82" w:type="dxa"/>
            <w:gridSpan w:val="2"/>
            <w:tcBorders>
              <w:top w:val="single" w:color="000000" w:sz="4" w:space="0"/>
              <w:left w:val="single" w:color="000000" w:sz="4" w:space="0"/>
              <w:bottom w:val="single" w:color="000000" w:sz="4" w:space="0"/>
              <w:right w:val="single" w:color="000000" w:sz="4" w:space="0"/>
            </w:tcBorders>
            <w:noWrap w:val="0"/>
            <w:vAlign w:val="center"/>
          </w:tcPr>
          <w:p w14:paraId="37AC60BF">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583" w:type="dxa"/>
            <w:gridSpan w:val="3"/>
            <w:tcBorders>
              <w:top w:val="single" w:color="000000" w:sz="4" w:space="0"/>
              <w:left w:val="single" w:color="000000" w:sz="4" w:space="0"/>
              <w:bottom w:val="single" w:color="000000" w:sz="4" w:space="0"/>
              <w:right w:val="single" w:color="000000" w:sz="4" w:space="0"/>
            </w:tcBorders>
            <w:noWrap w:val="0"/>
            <w:vAlign w:val="center"/>
          </w:tcPr>
          <w:p w14:paraId="1F2AEF7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75BF5FF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5B90069D">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535F3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865" w:hRule="atLeast"/>
        </w:trPr>
        <w:tc>
          <w:tcPr>
            <w:tcW w:w="14627" w:type="dxa"/>
            <w:gridSpan w:val="10"/>
            <w:tcBorders>
              <w:top w:val="single" w:color="000000" w:sz="4" w:space="0"/>
              <w:left w:val="single" w:color="000000" w:sz="4" w:space="0"/>
              <w:bottom w:val="single" w:color="000000" w:sz="4" w:space="0"/>
              <w:right w:val="single" w:color="000000" w:sz="4" w:space="0"/>
            </w:tcBorders>
            <w:noWrap w:val="0"/>
            <w:vAlign w:val="center"/>
          </w:tcPr>
          <w:p w14:paraId="344C3E51">
            <w:pPr>
              <w:keepNext w:val="0"/>
              <w:keepLines w:val="0"/>
              <w:widowControl/>
              <w:suppressLineNumbers w:val="0"/>
              <w:jc w:val="left"/>
              <w:textAlignment w:val="top"/>
              <w:rPr>
                <w:rStyle w:val="5"/>
                <w:rFonts w:hint="default" w:ascii="Times New Roman" w:hAnsi="Times New Roman" w:cs="Times New Roman"/>
                <w:color w:val="auto"/>
                <w:highlight w:val="none"/>
                <w:lang w:val="en-US" w:eastAsia="zh-CN" w:bidi="ar"/>
              </w:rPr>
            </w:pPr>
            <w:r>
              <w:rPr>
                <w:rFonts w:hint="default" w:ascii="Times New Roman" w:hAnsi="Times New Roman" w:eastAsia="黑体" w:cs="Times New Roman"/>
                <w:i w:val="0"/>
                <w:iCs w:val="0"/>
                <w:color w:val="auto"/>
                <w:kern w:val="0"/>
                <w:sz w:val="24"/>
                <w:szCs w:val="24"/>
                <w:highlight w:val="none"/>
                <w:u w:val="none"/>
                <w:lang w:val="en-US" w:eastAsia="zh-CN" w:bidi="ar"/>
              </w:rPr>
              <w:t>四、完善智慧精准的文旅产业监管环境</w:t>
            </w:r>
          </w:p>
        </w:tc>
      </w:tr>
      <w:tr w14:paraId="37B33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6623" w:hRule="atLeast"/>
        </w:trPr>
        <w:tc>
          <w:tcPr>
            <w:tcW w:w="1330" w:type="dxa"/>
            <w:tcBorders>
              <w:top w:val="single" w:color="000000" w:sz="4" w:space="0"/>
              <w:left w:val="single" w:color="000000" w:sz="4" w:space="0"/>
              <w:bottom w:val="single" w:color="000000" w:sz="4" w:space="0"/>
              <w:right w:val="single" w:color="000000" w:sz="4" w:space="0"/>
            </w:tcBorders>
            <w:noWrap w:val="0"/>
            <w:vAlign w:val="center"/>
          </w:tcPr>
          <w:p w14:paraId="33599C4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16</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767273D8">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创新“互联网+”智慧监管新模式</w:t>
            </w:r>
          </w:p>
        </w:tc>
        <w:tc>
          <w:tcPr>
            <w:tcW w:w="6882" w:type="dxa"/>
            <w:gridSpan w:val="2"/>
            <w:tcBorders>
              <w:top w:val="single" w:color="000000" w:sz="4" w:space="0"/>
              <w:left w:val="single" w:color="000000" w:sz="4" w:space="0"/>
              <w:bottom w:val="single" w:color="000000" w:sz="4" w:space="0"/>
              <w:right w:val="single" w:color="000000" w:sz="4" w:space="0"/>
            </w:tcBorders>
            <w:noWrap w:val="0"/>
            <w:vAlign w:val="center"/>
          </w:tcPr>
          <w:p w14:paraId="3EE41C52">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聚焦监管对象数量多、执法力量有限、风险发现滞后等矛盾，构建“全域覆盖、全程智控、全链闭环”智慧监管新格局。构建“一库汇聚”数据基座，建立监管数据库，统一视频、物联、业务数据采集规范，实现经营主体登记、许可等数据全量归集和动态更新。打造“一脑智控”AI预警体系，持续拓展食品、药品、特种设备等领域AI智能识别应用场景，建立“红黄蓝”三级风险预警机制，定期开展数据智能分析。建立“一键闭环”处置流程，发现问题自动制单、派单，整改到位销号归档，未整改到位退回重改。推行“一码查询”智慧服务，为经营主体生成专属二维码，经营主体扫码即可查看业务办理、政策宣传、信用评价等，同时开展证照到期主动提醒。构建“一体联动”协同机制，推动非现场监管，跨部门“综合查一次”，切实减轻企业负担。</w:t>
            </w:r>
          </w:p>
        </w:tc>
        <w:tc>
          <w:tcPr>
            <w:tcW w:w="1583" w:type="dxa"/>
            <w:gridSpan w:val="3"/>
            <w:tcBorders>
              <w:top w:val="single" w:color="000000" w:sz="4" w:space="0"/>
              <w:left w:val="single" w:color="000000" w:sz="4" w:space="0"/>
              <w:bottom w:val="single" w:color="000000" w:sz="4" w:space="0"/>
              <w:right w:val="single" w:color="auto" w:sz="4" w:space="0"/>
            </w:tcBorders>
            <w:noWrap w:val="0"/>
            <w:vAlign w:val="center"/>
          </w:tcPr>
          <w:p w14:paraId="368A7ED7">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589" w:type="dxa"/>
            <w:tcBorders>
              <w:top w:val="single" w:color="000000" w:sz="4" w:space="0"/>
              <w:left w:val="single" w:color="auto" w:sz="4" w:space="0"/>
              <w:bottom w:val="single" w:color="000000" w:sz="4" w:space="0"/>
              <w:right w:val="single" w:color="000000" w:sz="4" w:space="0"/>
            </w:tcBorders>
            <w:noWrap w:val="0"/>
            <w:vAlign w:val="center"/>
          </w:tcPr>
          <w:p w14:paraId="26413828">
            <w:pPr>
              <w:jc w:val="left"/>
              <w:rPr>
                <w:rFonts w:hint="default" w:ascii="Times New Roman" w:hAnsi="Times New Roman" w:eastAsia="仿宋" w:cs="Times New Roman"/>
                <w:i w:val="0"/>
                <w:iCs w:val="0"/>
                <w:color w:val="auto"/>
                <w:kern w:val="0"/>
                <w:sz w:val="24"/>
                <w:szCs w:val="24"/>
                <w:highlight w:val="none"/>
                <w:u w:val="none"/>
                <w:lang w:val="en-US" w:eastAsia="zh-CN" w:bidi="ar"/>
              </w:rPr>
            </w:pP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74DA69EB">
            <w:pPr>
              <w:keepNext w:val="0"/>
              <w:keepLines w:val="0"/>
              <w:widowControl/>
              <w:suppressLineNumbers w:val="0"/>
              <w:jc w:val="left"/>
              <w:textAlignment w:val="center"/>
              <w:rPr>
                <w:rStyle w:val="6"/>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0FBDF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7FBF7EB">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20" w:type="dxa"/>
            <w:gridSpan w:val="2"/>
            <w:tcBorders>
              <w:top w:val="single" w:color="000000" w:sz="4" w:space="0"/>
              <w:left w:val="single" w:color="000000" w:sz="4" w:space="0"/>
              <w:bottom w:val="single" w:color="000000" w:sz="4" w:space="0"/>
              <w:right w:val="single" w:color="000000" w:sz="4" w:space="0"/>
            </w:tcBorders>
            <w:noWrap w:val="0"/>
            <w:vAlign w:val="center"/>
          </w:tcPr>
          <w:p w14:paraId="2FDA52A3">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77" w:type="dxa"/>
            <w:gridSpan w:val="2"/>
            <w:tcBorders>
              <w:top w:val="single" w:color="000000" w:sz="4" w:space="0"/>
              <w:left w:val="single" w:color="000000" w:sz="4" w:space="0"/>
              <w:bottom w:val="single" w:color="000000" w:sz="4" w:space="0"/>
              <w:right w:val="single" w:color="000000" w:sz="4" w:space="0"/>
            </w:tcBorders>
            <w:noWrap w:val="0"/>
            <w:vAlign w:val="center"/>
          </w:tcPr>
          <w:p w14:paraId="257BC15A">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35EFC936">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633" w:type="dxa"/>
            <w:gridSpan w:val="3"/>
            <w:tcBorders>
              <w:top w:val="single" w:color="000000" w:sz="4" w:space="0"/>
              <w:left w:val="single" w:color="000000" w:sz="4" w:space="0"/>
              <w:bottom w:val="single" w:color="000000" w:sz="4" w:space="0"/>
              <w:right w:val="single" w:color="000000" w:sz="4" w:space="0"/>
            </w:tcBorders>
            <w:noWrap w:val="0"/>
            <w:vAlign w:val="center"/>
          </w:tcPr>
          <w:p w14:paraId="7F8A724C">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6EEB33F8">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75DF7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0" w:hRule="atLeast"/>
        </w:trPr>
        <w:tc>
          <w:tcPr>
            <w:tcW w:w="1330" w:type="dxa"/>
            <w:tcBorders>
              <w:top w:val="single" w:color="000000" w:sz="4" w:space="0"/>
              <w:left w:val="single" w:color="000000" w:sz="4" w:space="0"/>
              <w:bottom w:val="single" w:color="000000" w:sz="4" w:space="0"/>
              <w:right w:val="single" w:color="000000" w:sz="4" w:space="0"/>
            </w:tcBorders>
            <w:noWrap w:val="0"/>
            <w:vAlign w:val="center"/>
          </w:tcPr>
          <w:p w14:paraId="39287039">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17</w:t>
            </w:r>
          </w:p>
        </w:tc>
        <w:tc>
          <w:tcPr>
            <w:tcW w:w="1720" w:type="dxa"/>
            <w:gridSpan w:val="2"/>
            <w:tcBorders>
              <w:top w:val="single" w:color="000000" w:sz="4" w:space="0"/>
              <w:left w:val="single" w:color="000000" w:sz="4" w:space="0"/>
              <w:bottom w:val="single" w:color="000000" w:sz="4" w:space="0"/>
              <w:right w:val="single" w:color="000000" w:sz="4" w:space="0"/>
            </w:tcBorders>
            <w:noWrap w:val="0"/>
            <w:vAlign w:val="center"/>
          </w:tcPr>
          <w:p w14:paraId="21DE4626">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构建外卖全链条溯源监管体系</w:t>
            </w:r>
          </w:p>
        </w:tc>
        <w:tc>
          <w:tcPr>
            <w:tcW w:w="6877" w:type="dxa"/>
            <w:gridSpan w:val="2"/>
            <w:tcBorders>
              <w:top w:val="single" w:color="000000" w:sz="4" w:space="0"/>
              <w:left w:val="single" w:color="000000" w:sz="4" w:space="0"/>
              <w:bottom w:val="single" w:color="000000" w:sz="4" w:space="0"/>
              <w:right w:val="single" w:color="000000" w:sz="4" w:space="0"/>
            </w:tcBorders>
            <w:noWrap w:val="0"/>
            <w:vAlign w:val="center"/>
          </w:tcPr>
          <w:p w14:paraId="4C78C94A">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聚焦外卖食品安全全流程管控，以数据核验、智能监管、配送闭环、社会共治为抓手，构建源头可溯、过程可控、风险可防的外卖全链条溯源监管体系。推行“一源核验”，比对外卖商家资质与监管数据，确保证照、地址、店名一致；对无堂食商户亮明标识，每半年联合平台更新核验，实现静态准入向生命周期管理转变。推广“互联网+明厨亮灶”，在景区周边、商圈外卖商户后厨安装AI摄像头，实时直播操作，通过AI巡检抓拍违规行为、推送预警，形成闭环整改机制。推行“无封签不配送”机制，引导外卖平台将食安封签使用纳入商户责任协议，明确配送员查验责任和消费者拒收权利，探索封签使用情况与平台流量推荐挂钩。“骑护食安”推进网络餐饮共治。聘请外卖骑手为“外卖食品安全监督员”，外卖骑手监管员在日常取餐、送餐过程通过“随手拍”“码上报”等方式及时上报食品安全问题线索，助力隐患“早发现、早处置”，构建便利、高效的“骑手+平台+监管”三方联动矩阵。</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0287A999">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633" w:type="dxa"/>
            <w:gridSpan w:val="3"/>
            <w:tcBorders>
              <w:top w:val="single" w:color="000000" w:sz="4" w:space="0"/>
              <w:left w:val="single" w:color="000000" w:sz="4" w:space="0"/>
              <w:bottom w:val="single" w:color="000000" w:sz="4" w:space="0"/>
              <w:right w:val="single" w:color="000000" w:sz="4" w:space="0"/>
            </w:tcBorders>
            <w:noWrap w:val="0"/>
            <w:vAlign w:val="center"/>
          </w:tcPr>
          <w:p w14:paraId="0048AF4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区商务局</w:t>
            </w:r>
          </w:p>
          <w:p w14:paraId="1C342C9E">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等单位配合</w:t>
            </w: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5FEF538E">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r w14:paraId="6FF3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7" w:hRule="atLeast"/>
        </w:trPr>
        <w:tc>
          <w:tcPr>
            <w:tcW w:w="1330" w:type="dxa"/>
            <w:tcBorders>
              <w:top w:val="single" w:color="000000" w:sz="4" w:space="0"/>
              <w:left w:val="single" w:color="000000" w:sz="4" w:space="0"/>
              <w:bottom w:val="single" w:color="000000" w:sz="4" w:space="0"/>
              <w:right w:val="single" w:color="000000" w:sz="4" w:space="0"/>
            </w:tcBorders>
            <w:noWrap w:val="0"/>
            <w:vAlign w:val="center"/>
          </w:tcPr>
          <w:p w14:paraId="4F093A2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18</w:t>
            </w:r>
          </w:p>
        </w:tc>
        <w:tc>
          <w:tcPr>
            <w:tcW w:w="1720" w:type="dxa"/>
            <w:gridSpan w:val="2"/>
            <w:tcBorders>
              <w:top w:val="single" w:color="000000" w:sz="4" w:space="0"/>
              <w:left w:val="single" w:color="000000" w:sz="4" w:space="0"/>
              <w:bottom w:val="single" w:color="000000" w:sz="4" w:space="0"/>
              <w:right w:val="single" w:color="000000" w:sz="4" w:space="0"/>
            </w:tcBorders>
            <w:noWrap w:val="0"/>
            <w:vAlign w:val="center"/>
          </w:tcPr>
          <w:p w14:paraId="3489DD9F">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推动营业执照年报智能审批与监管</w:t>
            </w:r>
          </w:p>
        </w:tc>
        <w:tc>
          <w:tcPr>
            <w:tcW w:w="6877" w:type="dxa"/>
            <w:gridSpan w:val="2"/>
            <w:tcBorders>
              <w:top w:val="single" w:color="000000" w:sz="4" w:space="0"/>
              <w:left w:val="single" w:color="000000" w:sz="4" w:space="0"/>
              <w:bottom w:val="single" w:color="000000" w:sz="4" w:space="0"/>
              <w:right w:val="single" w:color="000000" w:sz="4" w:space="0"/>
            </w:tcBorders>
            <w:noWrap w:val="0"/>
            <w:vAlign w:val="center"/>
          </w:tcPr>
          <w:p w14:paraId="77C5F595">
            <w:pPr>
              <w:keepNext w:val="0"/>
              <w:keepLines w:val="0"/>
              <w:widowControl/>
              <w:suppressLineNumbers w:val="0"/>
              <w:ind w:firstLine="480" w:firstLineChars="200"/>
              <w:jc w:val="left"/>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构建“智能便捷、精准高效、信用赋能”的年报审批与监管服务体系。针对文旅行业个体工商户，推行“刷身份证、一分钟年报”自助办理模式，通过插证刷脸实现信息一键调取、年报即时公示；依托跨部门数据互通开展智能预填，企业仅需核对确认即可完成申报，同步建立多渠道智能提醒机制，变被动催报为主动服务。实行“AI智能审核+人工辅助审批”模式，系统自动标注异常信息供人工核查，对经营范围变更、联络员备案等高频事项实现秒批，构建“机器管常规、人工管疑难”的高效闭环。深化“信用赋能”，将高质量年报纳入信用评价并实施正向激励；建立数据核验与异常预警修正机制，形成全流程管理闭环。</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13DB59C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633" w:type="dxa"/>
            <w:gridSpan w:val="3"/>
            <w:tcBorders>
              <w:top w:val="single" w:color="000000" w:sz="4" w:space="0"/>
              <w:left w:val="single" w:color="000000" w:sz="4" w:space="0"/>
              <w:bottom w:val="single" w:color="000000" w:sz="4" w:space="0"/>
              <w:right w:val="single" w:color="000000" w:sz="4" w:space="0"/>
            </w:tcBorders>
            <w:noWrap w:val="0"/>
            <w:vAlign w:val="center"/>
          </w:tcPr>
          <w:p w14:paraId="5717975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区发改委</w:t>
            </w:r>
          </w:p>
          <w:p w14:paraId="7F49297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等单位配合</w:t>
            </w: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03325BB9">
            <w:pPr>
              <w:keepNext w:val="0"/>
              <w:keepLines w:val="0"/>
              <w:widowControl/>
              <w:suppressLineNumbers w:val="0"/>
              <w:jc w:val="left"/>
              <w:textAlignment w:val="center"/>
              <w:rPr>
                <w:rStyle w:val="6"/>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tbl>
      <w:tblPr>
        <w:tblStyle w:val="3"/>
        <w:tblW w:w="146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96"/>
        <w:gridCol w:w="1720"/>
        <w:gridCol w:w="6860"/>
        <w:gridCol w:w="1600"/>
        <w:gridCol w:w="1630"/>
        <w:gridCol w:w="1514"/>
      </w:tblGrid>
      <w:tr w14:paraId="54E5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3" w:hRule="atLeast"/>
          <w:jc w:val="center"/>
        </w:trPr>
        <w:tc>
          <w:tcPr>
            <w:tcW w:w="1296" w:type="dxa"/>
            <w:tcBorders>
              <w:top w:val="single" w:color="000000" w:sz="4" w:space="0"/>
              <w:left w:val="single" w:color="000000" w:sz="4" w:space="0"/>
              <w:bottom w:val="single" w:color="000000" w:sz="4" w:space="0"/>
              <w:right w:val="single" w:color="000000" w:sz="4" w:space="0"/>
            </w:tcBorders>
            <w:noWrap w:val="0"/>
            <w:vAlign w:val="center"/>
          </w:tcPr>
          <w:p w14:paraId="261842CF">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序 号</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6020FCE8">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改革事项</w:t>
            </w:r>
          </w:p>
        </w:tc>
        <w:tc>
          <w:tcPr>
            <w:tcW w:w="6860" w:type="dxa"/>
            <w:tcBorders>
              <w:top w:val="single" w:color="000000" w:sz="4" w:space="0"/>
              <w:left w:val="single" w:color="000000" w:sz="4" w:space="0"/>
              <w:bottom w:val="single" w:color="000000" w:sz="4" w:space="0"/>
              <w:right w:val="single" w:color="000000" w:sz="4" w:space="0"/>
            </w:tcBorders>
            <w:noWrap w:val="0"/>
            <w:vAlign w:val="center"/>
          </w:tcPr>
          <w:p w14:paraId="46B042F0">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具体举措</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6071AB85">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牵头单位</w:t>
            </w:r>
          </w:p>
        </w:tc>
        <w:tc>
          <w:tcPr>
            <w:tcW w:w="1630" w:type="dxa"/>
            <w:tcBorders>
              <w:top w:val="single" w:color="000000" w:sz="4" w:space="0"/>
              <w:left w:val="single" w:color="000000" w:sz="4" w:space="0"/>
              <w:bottom w:val="single" w:color="000000" w:sz="4" w:space="0"/>
              <w:right w:val="single" w:color="000000" w:sz="4" w:space="0"/>
            </w:tcBorders>
            <w:noWrap w:val="0"/>
            <w:vAlign w:val="center"/>
          </w:tcPr>
          <w:p w14:paraId="5D8BD57D">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配合单位</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4DD6226C">
            <w:pPr>
              <w:keepNext w:val="0"/>
              <w:keepLines w:val="0"/>
              <w:widowControl/>
              <w:suppressLineNumbers w:val="0"/>
              <w:jc w:val="center"/>
              <w:textAlignment w:val="center"/>
              <w:rPr>
                <w:rFonts w:hint="default" w:ascii="Times New Roman" w:hAnsi="Times New Roman" w:eastAsia="黑体" w:cs="Times New Roman"/>
                <w:i w:val="0"/>
                <w:iCs w:val="0"/>
                <w:color w:val="auto"/>
                <w:sz w:val="24"/>
                <w:szCs w:val="24"/>
                <w:highlight w:val="none"/>
                <w:u w:val="none"/>
              </w:rPr>
            </w:pPr>
            <w:r>
              <w:rPr>
                <w:rStyle w:val="5"/>
                <w:rFonts w:hint="default" w:ascii="Times New Roman" w:hAnsi="Times New Roman" w:cs="Times New Roman"/>
                <w:color w:val="auto"/>
                <w:highlight w:val="none"/>
                <w:lang w:val="en-US" w:eastAsia="zh-CN" w:bidi="ar"/>
              </w:rPr>
              <w:t>完成时限</w:t>
            </w:r>
          </w:p>
        </w:tc>
      </w:tr>
      <w:tr w14:paraId="4605A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77" w:hRule="atLeast"/>
          <w:jc w:val="center"/>
        </w:trPr>
        <w:tc>
          <w:tcPr>
            <w:tcW w:w="1296" w:type="dxa"/>
            <w:tcBorders>
              <w:top w:val="single" w:color="000000" w:sz="4" w:space="0"/>
              <w:left w:val="single" w:color="000000" w:sz="4" w:space="0"/>
              <w:bottom w:val="single" w:color="000000" w:sz="4" w:space="0"/>
              <w:right w:val="single" w:color="000000" w:sz="4" w:space="0"/>
            </w:tcBorders>
            <w:noWrap w:val="0"/>
            <w:vAlign w:val="center"/>
          </w:tcPr>
          <w:p w14:paraId="5256E305">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19</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000C0807">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开展文旅政策智慧化公平竞争审查</w:t>
            </w:r>
          </w:p>
        </w:tc>
        <w:tc>
          <w:tcPr>
            <w:tcW w:w="6860" w:type="dxa"/>
            <w:tcBorders>
              <w:top w:val="single" w:color="000000" w:sz="4" w:space="0"/>
              <w:left w:val="single" w:color="000000" w:sz="4" w:space="0"/>
              <w:bottom w:val="single" w:color="000000" w:sz="4" w:space="0"/>
              <w:right w:val="single" w:color="000000" w:sz="4" w:space="0"/>
            </w:tcBorders>
            <w:noWrap w:val="0"/>
            <w:vAlign w:val="center"/>
          </w:tcPr>
          <w:p w14:paraId="204A47C5">
            <w:pPr>
              <w:keepNext w:val="0"/>
              <w:keepLines w:val="0"/>
              <w:widowControl/>
              <w:suppressLineNumbers w:val="0"/>
              <w:ind w:firstLine="480" w:firstLineChars="20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以全省公平竞争审查工作试点为契机，推进智慧公平竞争审查改革，构建规范高效、人机协同的审查体系。搭建智慧审查平台，实现全流程智能化管理。将涉文旅经营主体经济活动的政策草案、采购文件等全部纳入审查范围，实现“逢文必审、应审尽审”。建立“AI智能筛查+人工复核”双轨审查机制，通过系统自动识别排除、限制竞争风险条款，辅助人工精准复核，推动审查从“人工把关”向“人机协同”转变。优化审查流程，将相关政策文件审查周期压缩至5个工作日内，实现审查全流程留痕、可溯，提升政策供给效率。强化审查刚性约束，聚焦景区门票定价、服务标准、主体准入等关键环节，对拟出台的文旅扶持政策开展前置审查，杜绝破坏市场公平竞争的行为，为文旅经营主体提供高效可预期的政策环境。</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1D6E0C41">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区市场监管局</w:t>
            </w:r>
          </w:p>
        </w:tc>
        <w:tc>
          <w:tcPr>
            <w:tcW w:w="1630" w:type="dxa"/>
            <w:tcBorders>
              <w:top w:val="single" w:color="000000" w:sz="4" w:space="0"/>
              <w:left w:val="single" w:color="000000" w:sz="4" w:space="0"/>
              <w:bottom w:val="single" w:color="000000" w:sz="4" w:space="0"/>
              <w:right w:val="single" w:color="000000" w:sz="4" w:space="0"/>
            </w:tcBorders>
            <w:noWrap w:val="0"/>
            <w:vAlign w:val="center"/>
          </w:tcPr>
          <w:p w14:paraId="40E4CFA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区政府办、</w:t>
            </w:r>
          </w:p>
          <w:p w14:paraId="5353E22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区文旅局</w:t>
            </w:r>
          </w:p>
          <w:p w14:paraId="03F8E9B0">
            <w:pPr>
              <w:keepNext w:val="0"/>
              <w:keepLines w:val="0"/>
              <w:widowControl/>
              <w:suppressLineNumbers w:val="0"/>
              <w:jc w:val="center"/>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kern w:val="0"/>
                <w:sz w:val="24"/>
                <w:szCs w:val="24"/>
                <w:highlight w:val="none"/>
                <w:u w:val="none"/>
                <w:lang w:val="en-US" w:eastAsia="zh-CN" w:bidi="ar"/>
              </w:rPr>
              <w:t>等单位配合</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268CC5DD">
            <w:pPr>
              <w:keepNext w:val="0"/>
              <w:keepLines w:val="0"/>
              <w:widowControl/>
              <w:suppressLineNumbers w:val="0"/>
              <w:jc w:val="left"/>
              <w:textAlignment w:val="center"/>
              <w:rPr>
                <w:rStyle w:val="5"/>
                <w:rFonts w:hint="default" w:ascii="Times New Roman" w:hAnsi="Times New Roman" w:cs="Times New Roman"/>
                <w:color w:val="auto"/>
                <w:highlight w:val="none"/>
                <w:lang w:val="en-US" w:eastAsia="zh-CN" w:bidi="ar"/>
              </w:rPr>
            </w:pPr>
            <w:r>
              <w:rPr>
                <w:rFonts w:hint="default" w:ascii="Times New Roman" w:hAnsi="Times New Roman" w:eastAsia="仿宋" w:cs="Times New Roman"/>
                <w:i w:val="0"/>
                <w:iCs w:val="0"/>
                <w:color w:val="auto"/>
                <w:sz w:val="24"/>
                <w:szCs w:val="24"/>
                <w:highlight w:val="none"/>
                <w:u w:val="none"/>
                <w:lang w:val="en-US" w:eastAsia="zh-CN"/>
              </w:rPr>
              <w:t>2027年9月</w:t>
            </w:r>
          </w:p>
        </w:tc>
      </w:tr>
    </w:tbl>
    <w:p w14:paraId="47D33983"/>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3DD77D-0F08-4D69-884D-E842C3E7A3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F479D53-8FDE-438F-BA44-5E477F54ACE9}"/>
  </w:font>
  <w:font w:name="仿宋">
    <w:panose1 w:val="02010609060101010101"/>
    <w:charset w:val="86"/>
    <w:family w:val="auto"/>
    <w:pitch w:val="default"/>
    <w:sig w:usb0="800002BF" w:usb1="38CF7CFA" w:usb2="00000016" w:usb3="00000000" w:csb0="00040001" w:csb1="00000000"/>
    <w:embedRegular r:id="rId3" w:fontKey="{5AD1C572-5468-45C5-BA16-DF7F16BF5957}"/>
  </w:font>
  <w:font w:name="微软雅黑">
    <w:panose1 w:val="020B0503020204020204"/>
    <w:charset w:val="86"/>
    <w:family w:val="auto"/>
    <w:pitch w:val="default"/>
    <w:sig w:usb0="80000287" w:usb1="2ACF3C50" w:usb2="00000016" w:usb3="00000000" w:csb0="0004001F" w:csb1="00000000"/>
    <w:embedRegular r:id="rId4" w:fontKey="{FA98ECFB-4BD3-4EC0-BE7E-73408D0D0291}"/>
  </w:font>
  <w:font w:name="方正小标宋_GBK">
    <w:panose1 w:val="02000000000000000000"/>
    <w:charset w:val="86"/>
    <w:family w:val="auto"/>
    <w:pitch w:val="default"/>
    <w:sig w:usb0="A00002BF" w:usb1="38CF7CFA" w:usb2="00082016" w:usb3="00000000" w:csb0="00040001" w:csb1="00000000"/>
    <w:embedRegular r:id="rId5" w:fontKey="{13B74D46-9E8B-46FA-84E5-7A72B2CA42F3}"/>
  </w:font>
  <w:font w:name="仿宋_GB2312">
    <w:panose1 w:val="02010609030101010101"/>
    <w:charset w:val="86"/>
    <w:family w:val="auto"/>
    <w:pitch w:val="default"/>
    <w:sig w:usb0="00000001" w:usb1="080E0000" w:usb2="00000000" w:usb3="00000000" w:csb0="00040000" w:csb1="00000000"/>
    <w:embedRegular r:id="rId6" w:fontKey="{95E86F03-7A19-4970-8B64-675A777C60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586B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EE13E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20</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4EE13E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20</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8020B5"/>
    <w:rsid w:val="44802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customStyle="1" w:styleId="5">
    <w:name w:val="font31"/>
    <w:basedOn w:val="4"/>
    <w:qFormat/>
    <w:uiPriority w:val="0"/>
    <w:rPr>
      <w:rFonts w:ascii="黑体" w:hAnsi="宋体" w:eastAsia="黑体" w:cs="黑体"/>
      <w:color w:val="000000"/>
      <w:sz w:val="24"/>
      <w:szCs w:val="24"/>
      <w:u w:val="none"/>
    </w:rPr>
  </w:style>
  <w:style w:type="character" w:customStyle="1" w:styleId="6">
    <w:name w:val="font51"/>
    <w:basedOn w:val="4"/>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2026-06-15T05:14:00Z</dcterms:created>
  <dc:creator>许柯</dc:creator>
  <cp:lastModifiedBy>许柯</cp:lastModifiedBy>
  <dcterms:modified xsi:type="dcterms:W3CDTF">2026-06-15T05:15:26Z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75C1E1D8C7084AF4A37D3BA02DCFF9AB_11</vt:lpwstr>
  </property>
  <property fmtid="{D5CDD505-2E9C-101B-9397-08002B2CF9AE}" pid="4" name="KSOTemplateDocerSaveRecord">
    <vt:lpwstr>eyJoZGlkIjoiNDQ3NmQ2NDQ4NzZlYWUxMjA2ZjYwZDVlODcwYzllMGIiLCJ1c2VySWQiOiIyNzU5OTUyNTUifQ==</vt:lpwstr>
  </property>
</Properties>
</file>